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11" w:rsidRPr="001D1DE8" w:rsidRDefault="00964D11" w:rsidP="00964D11">
      <w:pPr>
        <w:pStyle w:val="AHPRADocumenttitle"/>
        <w:rPr>
          <w:lang w:val="en-AU"/>
        </w:rPr>
      </w:pPr>
      <w:bookmarkStart w:id="0" w:name="OLE_LINK1"/>
      <w:bookmarkStart w:id="1" w:name="OLE_LINK2"/>
      <w:bookmarkStart w:id="2" w:name="_GoBack"/>
      <w:bookmarkEnd w:id="2"/>
      <w:r w:rsidRPr="001D1DE8">
        <w:rPr>
          <w:lang w:val="en-AU"/>
        </w:rPr>
        <w:t xml:space="preserve">Consultation on draft </w:t>
      </w:r>
      <w:r w:rsidR="00E91B49">
        <w:rPr>
          <w:lang w:val="en-AU"/>
        </w:rPr>
        <w:t>guidelines for safe Chinese herbal medicine practice</w:t>
      </w:r>
    </w:p>
    <w:bookmarkEnd w:id="0"/>
    <w:bookmarkEnd w:id="1"/>
    <w:p w:rsidR="00964D11" w:rsidRPr="001D1DE8" w:rsidRDefault="00402C42" w:rsidP="00964D11">
      <w:pPr>
        <w:pStyle w:val="AHPRAbody"/>
        <w:rPr>
          <w:lang w:val="en-AU"/>
        </w:rPr>
      </w:pPr>
      <w:r>
        <w:rPr>
          <w:noProof/>
          <w:lang w:val="en-AU" w:eastAsia="zh-CN"/>
        </w:rPr>
        <w:pict>
          <v:shapetype id="_x0000_t32" coordsize="21600,21600" o:spt="32" o:oned="t" path="m,l21600,21600e" filled="f">
            <v:path arrowok="t" fillok="f" o:connecttype="none"/>
            <o:lock v:ext="edit" shapetype="t"/>
          </v:shapetype>
          <v:shape id="AutoShape 3" o:spid="_x0000_s1026" type="#_x0000_t32" style="position:absolute;margin-left:-58.2pt;margin-top:.15pt;width:280.6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"/>
        </w:pict>
      </w:r>
    </w:p>
    <w:p w:rsidR="00964D11" w:rsidRPr="001D1DE8" w:rsidRDefault="00964D11" w:rsidP="00964D11">
      <w:pPr>
        <w:pStyle w:val="AHPRAbody"/>
        <w:rPr>
          <w:lang w:val="en-AU"/>
        </w:rPr>
      </w:pPr>
      <w:r w:rsidRPr="001D1DE8">
        <w:rPr>
          <w:lang w:val="en-AU"/>
        </w:rPr>
        <w:t xml:space="preserve">28 </w:t>
      </w:r>
      <w:r w:rsidR="001D1DE8" w:rsidRPr="001D1DE8">
        <w:rPr>
          <w:lang w:val="en-AU"/>
        </w:rPr>
        <w:t>May</w:t>
      </w:r>
      <w:r w:rsidRPr="001D1DE8">
        <w:rPr>
          <w:lang w:val="en-AU"/>
        </w:rPr>
        <w:t xml:space="preserve"> 2014</w:t>
      </w:r>
    </w:p>
    <w:p w:rsidR="00964D11" w:rsidRPr="001D1DE8" w:rsidRDefault="00964D11" w:rsidP="00964D11">
      <w:pPr>
        <w:pStyle w:val="AHPRADocumentsubheading"/>
        <w:rPr>
          <w:lang w:val="en-AU"/>
        </w:rPr>
      </w:pPr>
      <w:r w:rsidRPr="001D1DE8">
        <w:rPr>
          <w:lang w:val="en-AU"/>
        </w:rPr>
        <w:t xml:space="preserve">Responses to consultation questions </w:t>
      </w:r>
    </w:p>
    <w:p w:rsidR="00964D11" w:rsidRPr="001D1DE8" w:rsidRDefault="00964D11" w:rsidP="00964D11">
      <w:pPr>
        <w:pStyle w:val="AHPRAbody"/>
        <w:ind w:right="-306"/>
        <w:rPr>
          <w:b/>
          <w:color w:val="000000" w:themeColor="text1"/>
          <w:lang w:val="en-AU"/>
        </w:rPr>
      </w:pPr>
      <w:r w:rsidRPr="001D1DE8">
        <w:rPr>
          <w:b/>
          <w:lang w:val="en-AU"/>
        </w:rPr>
        <w:t xml:space="preserve">Please provide your feedback </w:t>
      </w:r>
      <w:r w:rsidRPr="001D1DE8">
        <w:rPr>
          <w:b/>
          <w:bCs/>
          <w:szCs w:val="20"/>
          <w:lang w:val="en-AU"/>
        </w:rPr>
        <w:t xml:space="preserve">as a Word document (not PDF) </w:t>
      </w:r>
      <w:r w:rsidRPr="001D1DE8">
        <w:rPr>
          <w:b/>
          <w:lang w:val="en-AU"/>
        </w:rPr>
        <w:t xml:space="preserve">by email to </w:t>
      </w:r>
      <w:hyperlink r:id="rId8" w:history="1">
        <w:r w:rsidR="001D1DE8" w:rsidRPr="001D1DE8">
          <w:rPr>
            <w:rStyle w:val="Hyperlink"/>
            <w:b/>
            <w:lang w:val="en-AU"/>
          </w:rPr>
          <w:t>chinesemedicineconsultation@ahpra.gov.au</w:t>
        </w:r>
      </w:hyperlink>
      <w:r w:rsidRPr="001D1DE8">
        <w:rPr>
          <w:b/>
          <w:lang w:val="en-AU"/>
        </w:rPr>
        <w:t xml:space="preserve"> </w:t>
      </w:r>
      <w:bookmarkStart w:id="3" w:name="_Toc320239872"/>
      <w:r w:rsidRPr="001D1DE8">
        <w:rPr>
          <w:b/>
          <w:lang w:val="en-AU"/>
        </w:rPr>
        <w:t xml:space="preserve">by close of business on </w:t>
      </w:r>
      <w:r w:rsidR="001D1DE8" w:rsidRPr="001D1DE8">
        <w:rPr>
          <w:b/>
          <w:lang w:val="en-AU"/>
        </w:rPr>
        <w:t>Wednesday</w:t>
      </w:r>
      <w:r w:rsidRPr="001D1DE8">
        <w:rPr>
          <w:b/>
          <w:lang w:val="en-AU"/>
        </w:rPr>
        <w:t xml:space="preserve">, </w:t>
      </w:r>
      <w:r w:rsidR="001D1DE8" w:rsidRPr="001D1DE8">
        <w:rPr>
          <w:b/>
          <w:lang w:val="en-AU"/>
        </w:rPr>
        <w:t>23 July</w:t>
      </w:r>
      <w:r w:rsidRPr="001D1DE8">
        <w:rPr>
          <w:b/>
          <w:lang w:val="en-AU"/>
        </w:rPr>
        <w:t xml:space="preserve"> 2014. </w:t>
      </w:r>
    </w:p>
    <w:bookmarkEnd w:id="3"/>
    <w:p w:rsidR="00964D11" w:rsidRPr="001D1DE8" w:rsidRDefault="00964D11" w:rsidP="00964D11">
      <w:pPr>
        <w:pStyle w:val="AHPRASubhead"/>
        <w:rPr>
          <w:lang w:val="en-AU"/>
        </w:rPr>
      </w:pPr>
      <w:r w:rsidRPr="001D1DE8">
        <w:rPr>
          <w:lang w:val="en-AU"/>
        </w:rPr>
        <w:t>Stakeholder Details</w:t>
      </w:r>
    </w:p>
    <w:p w:rsidR="00964D11" w:rsidRPr="001D1DE8" w:rsidRDefault="00964D11" w:rsidP="00964D11">
      <w:pPr>
        <w:pStyle w:val="AHPRAbodyitalics"/>
        <w:rPr>
          <w:lang w:val="en-AU"/>
        </w:rPr>
      </w:pPr>
      <w:r w:rsidRPr="001D1DE8">
        <w:rPr>
          <w:lang w:val="en-AU"/>
        </w:rPr>
        <w:t xml:space="preserve">If you wish to include background information about your organisation please provide this as a separate word document (not PDF). </w:t>
      </w:r>
    </w:p>
    <w:tbl>
      <w:tblPr>
        <w:tblStyle w:val="TableGrid"/>
        <w:tblW w:w="4907" w:type="pct"/>
        <w:tblInd w:w="108" w:type="dxa"/>
        <w:tblLook w:val="04A0" w:firstRow="1" w:lastRow="0" w:firstColumn="1" w:lastColumn="0" w:noHBand="0" w:noVBand="1"/>
      </w:tblPr>
      <w:tblGrid>
        <w:gridCol w:w="9533"/>
      </w:tblGrid>
      <w:tr w:rsidR="00964D11" w:rsidRPr="001D1DE8" w:rsidTr="00964D11">
        <w:tc>
          <w:tcPr>
            <w:tcW w:w="5000" w:type="pct"/>
            <w:shd w:val="clear" w:color="auto" w:fill="DAEEF3" w:themeFill="accent5" w:themeFillTint="33"/>
          </w:tcPr>
          <w:p w:rsidR="00964D11" w:rsidRPr="001D1DE8" w:rsidRDefault="002C4828" w:rsidP="00964D11">
            <w:pPr>
              <w:pStyle w:val="AHPRAtableheading"/>
              <w:jc w:val="left"/>
              <w:rPr>
                <w:lang w:val="en-AU"/>
              </w:rPr>
            </w:pPr>
            <w:r>
              <w:rPr>
                <w:lang w:val="en-AU"/>
              </w:rPr>
              <w:t>Practitioner’s</w:t>
            </w:r>
            <w:r w:rsidR="00964D11" w:rsidRPr="001D1DE8">
              <w:rPr>
                <w:lang w:val="en-AU"/>
              </w:rPr>
              <w:t xml:space="preserve"> name</w:t>
            </w:r>
          </w:p>
        </w:tc>
      </w:tr>
      <w:tr w:rsidR="00964D11" w:rsidRPr="001D1DE8" w:rsidTr="00964D11">
        <w:tc>
          <w:tcPr>
            <w:tcW w:w="5000" w:type="pct"/>
          </w:tcPr>
          <w:p w:rsidR="00964D11" w:rsidRDefault="00964D11" w:rsidP="00D61D8D">
            <w:pPr>
              <w:pStyle w:val="AHPRAtabletext"/>
              <w:rPr>
                <w:lang w:val="en-AU"/>
              </w:rPr>
            </w:pPr>
          </w:p>
          <w:p w:rsidR="00D61D8D" w:rsidRPr="00046CC8" w:rsidRDefault="00066A47" w:rsidP="00D61D8D">
            <w:pPr>
              <w:pStyle w:val="AHPRAtabletext"/>
              <w:rPr>
                <w:rFonts w:eastAsiaTheme="minorEastAsia"/>
                <w:lang w:val="en-AU" w:eastAsia="zh-CN"/>
              </w:rPr>
            </w:pPr>
            <w:r>
              <w:rPr>
                <w:rFonts w:eastAsiaTheme="minorEastAsia" w:hint="eastAsia"/>
                <w:lang w:val="en-AU" w:eastAsia="zh-CN"/>
              </w:rPr>
              <w:t>Cathy Fu</w:t>
            </w:r>
          </w:p>
        </w:tc>
      </w:tr>
      <w:tr w:rsidR="00964D11" w:rsidRPr="001D1DE8" w:rsidTr="00964D11">
        <w:tc>
          <w:tcPr>
            <w:tcW w:w="5000" w:type="pct"/>
            <w:shd w:val="clear" w:color="auto" w:fill="DAEEF3" w:themeFill="accent5" w:themeFillTint="33"/>
          </w:tcPr>
          <w:p w:rsidR="00964D11" w:rsidRPr="001D1DE8" w:rsidRDefault="00964D11" w:rsidP="00964D11">
            <w:pPr>
              <w:pStyle w:val="AHPRAtableheading"/>
              <w:jc w:val="left"/>
              <w:rPr>
                <w:rFonts w:cs="Arial"/>
                <w:bCs/>
                <w:szCs w:val="20"/>
                <w:lang w:val="en-AU"/>
              </w:rPr>
            </w:pPr>
            <w:r w:rsidRPr="001D1DE8">
              <w:rPr>
                <w:rFonts w:cs="Arial"/>
                <w:bCs/>
                <w:szCs w:val="20"/>
                <w:lang w:val="en-AU"/>
              </w:rPr>
              <w:t>Contact information</w:t>
            </w:r>
            <w:r w:rsidRPr="001D1DE8">
              <w:rPr>
                <w:rFonts w:cs="Arial"/>
                <w:bCs/>
                <w:szCs w:val="20"/>
                <w:lang w:val="en-AU"/>
              </w:rPr>
              <w:br/>
            </w:r>
            <w:r w:rsidRPr="001D1DE8">
              <w:rPr>
                <w:rFonts w:cs="Arial"/>
                <w:b w:val="0"/>
                <w:bCs/>
                <w:i/>
                <w:szCs w:val="20"/>
                <w:lang w:val="en-AU"/>
              </w:rPr>
              <w:t>(please include contact person’s name and email address)</w:t>
            </w:r>
          </w:p>
        </w:tc>
      </w:tr>
      <w:tr w:rsidR="00964D11" w:rsidRPr="001D1DE8" w:rsidTr="00964D11">
        <w:tc>
          <w:tcPr>
            <w:tcW w:w="5000" w:type="pct"/>
          </w:tcPr>
          <w:p w:rsidR="00964D11" w:rsidRPr="00046CC8" w:rsidRDefault="00964D11" w:rsidP="00964D11">
            <w:pPr>
              <w:pStyle w:val="AHPRAtabletext"/>
              <w:rPr>
                <w:rFonts w:eastAsiaTheme="minorEastAsia"/>
                <w:lang w:val="en-AU" w:eastAsia="zh-CN"/>
              </w:rPr>
            </w:pPr>
          </w:p>
          <w:p w:rsidR="00964D11" w:rsidRPr="001D1DE8" w:rsidRDefault="00964D11" w:rsidP="00D61D8D">
            <w:pPr>
              <w:pStyle w:val="AHPRAtabletext"/>
              <w:rPr>
                <w:lang w:val="en-AU"/>
              </w:rPr>
            </w:pPr>
          </w:p>
        </w:tc>
      </w:tr>
    </w:tbl>
    <w:p w:rsidR="00964D11" w:rsidRPr="001D1DE8" w:rsidRDefault="00964D11" w:rsidP="00964D11">
      <w:pPr>
        <w:pStyle w:val="AHPRAbody"/>
        <w:rPr>
          <w:lang w:val="en-AU"/>
        </w:rPr>
      </w:pPr>
    </w:p>
    <w:p w:rsidR="00964D11" w:rsidRPr="001D1DE8" w:rsidRDefault="00964D11" w:rsidP="00964D11">
      <w:pPr>
        <w:pStyle w:val="AHPRASubhead"/>
        <w:rPr>
          <w:lang w:val="en-AU"/>
        </w:rPr>
      </w:pPr>
      <w:r w:rsidRPr="001D1DE8">
        <w:rPr>
          <w:lang w:val="en-AU"/>
        </w:rPr>
        <w:t xml:space="preserve">Your responses to consultation questions </w:t>
      </w:r>
    </w:p>
    <w:tbl>
      <w:tblPr>
        <w:tblStyle w:val="TableGrid"/>
        <w:tblW w:w="4942" w:type="pct"/>
        <w:tblInd w:w="108" w:type="dxa"/>
        <w:tblLook w:val="04A0" w:firstRow="1" w:lastRow="0" w:firstColumn="1" w:lastColumn="0" w:noHBand="0" w:noVBand="1"/>
      </w:tblPr>
      <w:tblGrid>
        <w:gridCol w:w="9601"/>
      </w:tblGrid>
      <w:tr w:rsidR="00964D11" w:rsidRPr="001D1DE8" w:rsidTr="00E91B49">
        <w:tc>
          <w:tcPr>
            <w:tcW w:w="5000" w:type="pct"/>
            <w:shd w:val="clear" w:color="auto" w:fill="F2F2F2" w:themeFill="background1" w:themeFillShade="F2"/>
          </w:tcPr>
          <w:p w:rsidR="00E91B49" w:rsidRPr="00E91B49" w:rsidRDefault="00E91B49" w:rsidP="00964D11">
            <w:pPr>
              <w:pStyle w:val="AHPRAtableheading"/>
              <w:rPr>
                <w:lang w:val="en-AU"/>
              </w:rPr>
            </w:pPr>
            <w:r>
              <w:rPr>
                <w:lang w:val="en-AU"/>
              </w:rPr>
              <w:t>Guidelines for safe Chinese herbal medicine practice</w:t>
            </w:r>
          </w:p>
          <w:p w:rsidR="00964D11" w:rsidRPr="001D1DE8" w:rsidRDefault="00964D11" w:rsidP="00964D11">
            <w:pPr>
              <w:pStyle w:val="AHPRAtableheading"/>
              <w:rPr>
                <w:b w:val="0"/>
                <w:i/>
                <w:lang w:val="en-AU"/>
              </w:rPr>
            </w:pPr>
            <w:r w:rsidRPr="001D1DE8">
              <w:rPr>
                <w:b w:val="0"/>
                <w:i/>
                <w:lang w:val="en-AU"/>
              </w:rPr>
              <w:t>Please provide your responses to any or all questions in the blank boxes below</w:t>
            </w:r>
          </w:p>
        </w:tc>
      </w:tr>
      <w:tr w:rsidR="00964D11" w:rsidRPr="001D1DE8" w:rsidTr="00E91B49">
        <w:tc>
          <w:tcPr>
            <w:tcW w:w="5000" w:type="pct"/>
            <w:shd w:val="clear" w:color="auto" w:fill="DAEEF3" w:themeFill="accent5" w:themeFillTint="33"/>
          </w:tcPr>
          <w:p w:rsidR="00964D11" w:rsidRPr="001D1DE8" w:rsidRDefault="001D1DE8" w:rsidP="004A148A">
            <w:pPr>
              <w:pStyle w:val="AHPRANumberedlistlevel1"/>
              <w:rPr>
                <w:szCs w:val="20"/>
                <w:lang w:val="en-AU" w:eastAsia="zh-CN"/>
              </w:rPr>
            </w:pPr>
            <w:r w:rsidRPr="001D1DE8">
              <w:rPr>
                <w:lang w:val="en-AU"/>
              </w:rPr>
              <w:t>Do you agree that these guidelines apply to all medicines prescribed and/or dispensed by Chinese medicine practitioners?</w:t>
            </w:r>
            <w:r w:rsidR="00964D11" w:rsidRPr="001D1DE8">
              <w:rPr>
                <w:szCs w:val="20"/>
                <w:lang w:val="en-AU"/>
              </w:rPr>
              <w:t xml:space="preserve"> </w:t>
            </w:r>
            <w:r w:rsidR="00907E51">
              <w:rPr>
                <w:rFonts w:eastAsiaTheme="minorEastAsia" w:hint="eastAsia"/>
                <w:szCs w:val="20"/>
                <w:lang w:val="en-AU" w:eastAsia="zh-CN"/>
              </w:rPr>
              <w:t xml:space="preserve"> </w:t>
            </w:r>
          </w:p>
        </w:tc>
      </w:tr>
      <w:tr w:rsidR="00964D11" w:rsidRPr="001D1DE8" w:rsidTr="00E91B49">
        <w:tc>
          <w:tcPr>
            <w:tcW w:w="5000" w:type="pct"/>
          </w:tcPr>
          <w:p w:rsidR="00C94470" w:rsidRPr="00C94470" w:rsidRDefault="00C94470" w:rsidP="00F21674">
            <w:pPr>
              <w:widowControl w:val="0"/>
              <w:adjustRightInd w:val="0"/>
              <w:snapToGrid w:val="0"/>
              <w:spacing w:line="160" w:lineRule="atLeast"/>
              <w:ind w:leftChars="64" w:left="271" w:hangingChars="59" w:hanging="130"/>
              <w:jc w:val="left"/>
            </w:pPr>
            <w:r w:rsidRPr="00C94470">
              <w:t>No</w:t>
            </w:r>
            <w:r>
              <w:t xml:space="preserve">, </w:t>
            </w:r>
            <w:r w:rsidR="00046CC8">
              <w:t xml:space="preserve">I do not </w:t>
            </w:r>
            <w:r w:rsidR="00066A47">
              <w:t xml:space="preserve">agree on. I </w:t>
            </w:r>
            <w:r>
              <w:t>suggest to use with Pinyin and Chinese characters, and with</w:t>
            </w:r>
            <w:r w:rsidR="00F21674" w:rsidRPr="001D1DE8">
              <w:t xml:space="preserve"> the pharmaceutical name</w:t>
            </w:r>
            <w:r w:rsidR="00F21674">
              <w:t xml:space="preserve"> or</w:t>
            </w:r>
            <w:r>
              <w:t xml:space="preserve"> botanical name in addition only under the circumstances of different herbs with same pinyin, </w:t>
            </w:r>
            <w:r w:rsidR="004A148A">
              <w:t>but</w:t>
            </w:r>
            <w:r>
              <w:t xml:space="preserve"> different Chinese characters.</w:t>
            </w:r>
            <w:r w:rsidRPr="00C94470">
              <w:t xml:space="preserve"> </w:t>
            </w:r>
          </w:p>
          <w:p w:rsidR="00964D11" w:rsidRPr="001D1DE8" w:rsidRDefault="00964D11" w:rsidP="00584C19">
            <w:pPr>
              <w:pStyle w:val="AHPRAtabletext"/>
              <w:rPr>
                <w:lang w:val="en-AU"/>
              </w:rPr>
            </w:pPr>
          </w:p>
        </w:tc>
      </w:tr>
      <w:tr w:rsidR="00964D11" w:rsidRPr="001D1DE8" w:rsidTr="00E91B49">
        <w:tc>
          <w:tcPr>
            <w:tcW w:w="5000" w:type="pct"/>
            <w:shd w:val="clear" w:color="auto" w:fill="DAEEF3" w:themeFill="accent5" w:themeFillTint="33"/>
          </w:tcPr>
          <w:p w:rsidR="007F72CC" w:rsidRPr="00907E51" w:rsidRDefault="001D1DE8" w:rsidP="004A148A">
            <w:pPr>
              <w:pStyle w:val="AHPRANumberedlistlevel1"/>
              <w:rPr>
                <w:rFonts w:eastAsiaTheme="minorEastAsia"/>
                <w:lang w:val="en-AU" w:eastAsia="zh-CN"/>
              </w:rPr>
            </w:pPr>
            <w:r w:rsidRPr="001D1DE8">
              <w:rPr>
                <w:lang w:val="en-AU"/>
              </w:rPr>
              <w:t xml:space="preserve">TGA nomenclature guidelines require the botanical name to be used for herbal products in manufactured medicines. Pinyin and/or Chinese characters are more commonly used for Chinese herbal medicine prescription writing and dispensing. The use of Chinese characters alone makes it difficult for patients and other health practitioners to understand what medicine the patient is taking. For Chinese herbal medicine prescription writing, do you agree that pinyin or the </w:t>
            </w:r>
            <w:bookmarkStart w:id="4" w:name="OLE_LINK3"/>
            <w:bookmarkStart w:id="5" w:name="OLE_LINK4"/>
            <w:r w:rsidRPr="001D1DE8">
              <w:rPr>
                <w:lang w:val="en-AU"/>
              </w:rPr>
              <w:t xml:space="preserve">pharmaceutical </w:t>
            </w:r>
            <w:bookmarkEnd w:id="4"/>
            <w:bookmarkEnd w:id="5"/>
            <w:r w:rsidRPr="001D1DE8">
              <w:rPr>
                <w:lang w:val="en-AU"/>
              </w:rPr>
              <w:t>name should be used as an alternative to the botanical name, with the addition of Chinese characters where necessary?</w:t>
            </w:r>
            <w:r w:rsidRPr="001D1DE8">
              <w:rPr>
                <w:lang w:val="en-AU"/>
              </w:rPr>
              <w:br/>
              <w:t xml:space="preserve">Is this guideline practical to implement? </w:t>
            </w:r>
            <w:r w:rsidRPr="001D1DE8">
              <w:rPr>
                <w:lang w:val="en-AU"/>
              </w:rPr>
              <w:br/>
              <w:t>If you disagree, what alternatives do you suggest?</w:t>
            </w:r>
          </w:p>
        </w:tc>
      </w:tr>
      <w:tr w:rsidR="00964D11" w:rsidRPr="001D1DE8" w:rsidTr="00E91B49">
        <w:tc>
          <w:tcPr>
            <w:tcW w:w="5000" w:type="pct"/>
            <w:shd w:val="clear" w:color="auto" w:fill="auto"/>
          </w:tcPr>
          <w:p w:rsidR="00A712C4" w:rsidRPr="001D1DE8" w:rsidRDefault="00584C19" w:rsidP="00584C19">
            <w:pPr>
              <w:pStyle w:val="AHPRAtabletext"/>
              <w:rPr>
                <w:lang w:val="en-AU"/>
              </w:rPr>
            </w:pPr>
            <w:r>
              <w:rPr>
                <w:lang w:val="en-AU"/>
              </w:rPr>
              <w:t>I</w:t>
            </w:r>
            <w:r w:rsidRPr="001D1DE8">
              <w:rPr>
                <w:lang w:val="en-AU"/>
              </w:rPr>
              <w:t xml:space="preserve"> agree that pinyin</w:t>
            </w:r>
            <w:r>
              <w:rPr>
                <w:lang w:val="en-AU"/>
              </w:rPr>
              <w:t xml:space="preserve"> </w:t>
            </w:r>
            <w:r w:rsidRPr="001D1DE8">
              <w:rPr>
                <w:lang w:val="en-AU"/>
              </w:rPr>
              <w:t xml:space="preserve">with the addition of Chinese characters should be used </w:t>
            </w:r>
            <w:r>
              <w:rPr>
                <w:lang w:val="en-AU"/>
              </w:rPr>
              <w:t xml:space="preserve">at all times </w:t>
            </w:r>
            <w:r w:rsidR="00066A47">
              <w:rPr>
                <w:lang w:val="en-AU"/>
              </w:rPr>
              <w:t xml:space="preserve">as an alternative </w:t>
            </w:r>
            <w:proofErr w:type="gramStart"/>
            <w:r w:rsidR="00066A47">
              <w:rPr>
                <w:lang w:val="en-AU"/>
              </w:rPr>
              <w:t xml:space="preserve">to </w:t>
            </w:r>
            <w:r w:rsidRPr="001D1DE8">
              <w:rPr>
                <w:lang w:val="en-AU"/>
              </w:rPr>
              <w:t xml:space="preserve"> the</w:t>
            </w:r>
            <w:proofErr w:type="gramEnd"/>
            <w:r w:rsidRPr="001D1DE8">
              <w:rPr>
                <w:lang w:val="en-AU"/>
              </w:rPr>
              <w:t xml:space="preserve"> pharmaceutical name </w:t>
            </w:r>
            <w:r>
              <w:rPr>
                <w:lang w:val="en-AU"/>
              </w:rPr>
              <w:t>and t</w:t>
            </w:r>
            <w:r w:rsidRPr="001D1DE8">
              <w:rPr>
                <w:lang w:val="en-AU"/>
              </w:rPr>
              <w:t>he botanical name</w:t>
            </w:r>
            <w:r>
              <w:rPr>
                <w:lang w:val="en-AU"/>
              </w:rPr>
              <w:t xml:space="preserve">. </w:t>
            </w:r>
            <w:proofErr w:type="spellStart"/>
            <w:r w:rsidR="00066A47">
              <w:rPr>
                <w:rFonts w:eastAsiaTheme="minorEastAsia" w:hint="eastAsia"/>
                <w:lang w:val="en-AU" w:eastAsia="zh-CN"/>
              </w:rPr>
              <w:t>However</w:t>
            </w:r>
            <w:proofErr w:type="gramStart"/>
            <w:r w:rsidR="00066A47">
              <w:rPr>
                <w:rFonts w:eastAsiaTheme="minorEastAsia" w:hint="eastAsia"/>
                <w:lang w:val="en-AU" w:eastAsia="zh-CN"/>
              </w:rPr>
              <w:t>,</w:t>
            </w:r>
            <w:r>
              <w:rPr>
                <w:lang w:val="en-AU"/>
              </w:rPr>
              <w:t>If</w:t>
            </w:r>
            <w:proofErr w:type="spellEnd"/>
            <w:proofErr w:type="gramEnd"/>
            <w:r w:rsidRPr="001D1DE8">
              <w:rPr>
                <w:lang w:val="en-AU"/>
              </w:rPr>
              <w:t xml:space="preserve"> this guideline </w:t>
            </w:r>
            <w:r>
              <w:rPr>
                <w:lang w:val="en-AU"/>
              </w:rPr>
              <w:t xml:space="preserve">is used as it is without amendment, it is impossible to </w:t>
            </w:r>
            <w:r w:rsidRPr="001D1DE8">
              <w:rPr>
                <w:lang w:val="en-AU"/>
              </w:rPr>
              <w:t>implement</w:t>
            </w:r>
            <w:r w:rsidR="00A712C4">
              <w:rPr>
                <w:lang w:val="en-AU"/>
              </w:rPr>
              <w:t xml:space="preserve"> because of the</w:t>
            </w:r>
            <w:r>
              <w:rPr>
                <w:lang w:val="en-AU"/>
              </w:rPr>
              <w:t xml:space="preserve"> high percentage of registered Chinese medicine practitioners and Chinese Medicine dispensers with language condition</w:t>
            </w:r>
            <w:r w:rsidR="0023488B">
              <w:rPr>
                <w:lang w:val="en-AU"/>
              </w:rPr>
              <w:t>ed registration</w:t>
            </w:r>
            <w:r>
              <w:rPr>
                <w:lang w:val="en-AU"/>
              </w:rPr>
              <w:t xml:space="preserve">. It is unfair to </w:t>
            </w:r>
            <w:r>
              <w:rPr>
                <w:lang w:val="en-AU"/>
              </w:rPr>
              <w:lastRenderedPageBreak/>
              <w:t xml:space="preserve">accept the language conditioned registration </w:t>
            </w:r>
            <w:r w:rsidR="0023488B">
              <w:rPr>
                <w:lang w:val="en-AU"/>
              </w:rPr>
              <w:t xml:space="preserve">before, later </w:t>
            </w:r>
            <w:r>
              <w:rPr>
                <w:lang w:val="en-AU"/>
              </w:rPr>
              <w:t>then enforce any guideline</w:t>
            </w:r>
            <w:r w:rsidR="00A712C4">
              <w:rPr>
                <w:lang w:val="en-AU"/>
              </w:rPr>
              <w:t>s</w:t>
            </w:r>
            <w:r>
              <w:rPr>
                <w:lang w:val="en-AU"/>
              </w:rPr>
              <w:t xml:space="preserve"> contradict</w:t>
            </w:r>
            <w:r w:rsidR="00A712C4">
              <w:rPr>
                <w:lang w:val="en-AU"/>
              </w:rPr>
              <w:t xml:space="preserve"> to the conditions.</w:t>
            </w:r>
            <w:r>
              <w:rPr>
                <w:lang w:val="en-AU"/>
              </w:rPr>
              <w:t xml:space="preserve">   </w:t>
            </w:r>
            <w:r w:rsidRPr="001D1DE8">
              <w:rPr>
                <w:lang w:val="en-AU"/>
              </w:rPr>
              <w:t xml:space="preserve"> </w:t>
            </w:r>
            <w:r w:rsidRPr="001D1DE8">
              <w:rPr>
                <w:lang w:val="en-AU"/>
              </w:rPr>
              <w:br/>
            </w:r>
            <w:r w:rsidR="00A712C4">
              <w:rPr>
                <w:lang w:val="en-AU"/>
              </w:rPr>
              <w:t xml:space="preserve">Prescriptions and labelling should be in consistence with Pinyin and Chinese characters at all times, and with </w:t>
            </w:r>
            <w:r w:rsidR="00F21674" w:rsidRPr="001D1DE8">
              <w:rPr>
                <w:lang w:val="en-AU"/>
              </w:rPr>
              <w:t>the pharmaceutical name</w:t>
            </w:r>
            <w:r w:rsidR="00F21674">
              <w:t xml:space="preserve"> or</w:t>
            </w:r>
            <w:r w:rsidR="00F21674">
              <w:rPr>
                <w:lang w:val="en-AU"/>
              </w:rPr>
              <w:t xml:space="preserve"> </w:t>
            </w:r>
            <w:r w:rsidR="00A712C4">
              <w:rPr>
                <w:lang w:val="en-AU"/>
              </w:rPr>
              <w:t>botanical name in addition only under the circumstances of different herbs with same pinyin, and different Chinese characters.</w:t>
            </w:r>
          </w:p>
          <w:p w:rsidR="00964D11" w:rsidRPr="001D1DE8" w:rsidRDefault="00964D11" w:rsidP="00964D11">
            <w:pPr>
              <w:pStyle w:val="AHPRAtabletext"/>
              <w:rPr>
                <w:lang w:val="en-AU"/>
              </w:rPr>
            </w:pPr>
          </w:p>
        </w:tc>
      </w:tr>
      <w:tr w:rsidR="00964D11" w:rsidRPr="001D1DE8" w:rsidTr="00E91B49">
        <w:tc>
          <w:tcPr>
            <w:tcW w:w="5000" w:type="pct"/>
            <w:shd w:val="clear" w:color="auto" w:fill="DAEEF3" w:themeFill="accent5" w:themeFillTint="33"/>
          </w:tcPr>
          <w:p w:rsidR="004A148A" w:rsidRPr="001D1DE8" w:rsidRDefault="001D1DE8" w:rsidP="004A148A">
            <w:pPr>
              <w:pStyle w:val="AHPRANumberedlistlevel1"/>
              <w:rPr>
                <w:lang w:val="en-AU" w:eastAsia="zh-CN"/>
              </w:rPr>
            </w:pPr>
            <w:r w:rsidRPr="001D1DE8">
              <w:rPr>
                <w:lang w:val="en-AU"/>
              </w:rPr>
              <w:lastRenderedPageBreak/>
              <w:t xml:space="preserve">Zhao et al (2006) identified that up to 27 per cent of Chinese herbs are sourced from multiple species, making it impossible to accurately identify the species used if the herb is identified only by pinyin, Chinese characters or pharmaceutical name. Best practice is to label herbs supplied to a patient by the botanical name to allow for accurate reference to drug-herb interaction databases, accurate tracking of potential adverse events and the informed use of evidence from pharmacological research. </w:t>
            </w:r>
            <w:r w:rsidRPr="001D1DE8">
              <w:rPr>
                <w:lang w:val="en-AU"/>
              </w:rPr>
              <w:br/>
              <w:t xml:space="preserve">Do you agree that herbs should be labelled according to their botanical name? </w:t>
            </w:r>
            <w:r w:rsidRPr="001D1DE8">
              <w:rPr>
                <w:lang w:val="en-AU"/>
              </w:rPr>
              <w:br/>
              <w:t>If not what alternative do you recommend to address these safety issues and remove ambiguity in labelling?</w:t>
            </w:r>
            <w:r w:rsidR="00D61D8D">
              <w:rPr>
                <w:lang w:val="en-AU"/>
              </w:rPr>
              <w:t xml:space="preserve"> </w:t>
            </w:r>
          </w:p>
          <w:p w:rsidR="001F3A1B" w:rsidRPr="001D1DE8" w:rsidRDefault="001F3A1B" w:rsidP="009D18A3">
            <w:pPr>
              <w:pStyle w:val="AHPRANumberedlistlevel1"/>
              <w:numPr>
                <w:ilvl w:val="0"/>
                <w:numId w:val="0"/>
              </w:numPr>
              <w:ind w:left="369"/>
              <w:rPr>
                <w:lang w:val="en-AU" w:eastAsia="zh-CN"/>
              </w:rPr>
            </w:pPr>
          </w:p>
        </w:tc>
      </w:tr>
      <w:tr w:rsidR="00964D11" w:rsidRPr="001D1DE8" w:rsidTr="00E91B49">
        <w:tc>
          <w:tcPr>
            <w:tcW w:w="5000" w:type="pct"/>
          </w:tcPr>
          <w:p w:rsidR="00BB1FA5" w:rsidRDefault="00A712C4" w:rsidP="00964D11">
            <w:pPr>
              <w:pStyle w:val="AHPRAtabletext"/>
              <w:rPr>
                <w:color w:val="FF0000"/>
                <w:lang w:val="en-AU"/>
              </w:rPr>
            </w:pPr>
            <w:r>
              <w:rPr>
                <w:lang w:val="en-AU"/>
              </w:rPr>
              <w:t>No,</w:t>
            </w:r>
            <w:r w:rsidR="000E6AE1">
              <w:rPr>
                <w:rFonts w:eastAsiaTheme="minorEastAsia" w:hint="eastAsia"/>
                <w:lang w:val="en-AU" w:eastAsia="zh-CN"/>
              </w:rPr>
              <w:t xml:space="preserve"> I</w:t>
            </w:r>
            <w:r w:rsidR="000E6AE1">
              <w:rPr>
                <w:rFonts w:eastAsiaTheme="minorEastAsia"/>
                <w:lang w:val="en-AU" w:eastAsia="zh-CN"/>
              </w:rPr>
              <w:t xml:space="preserve"> do not agree in </w:t>
            </w:r>
            <w:r>
              <w:rPr>
                <w:lang w:val="en-AU"/>
              </w:rPr>
              <w:t>using botanical names in labelling</w:t>
            </w:r>
            <w:r w:rsidR="0032024A">
              <w:rPr>
                <w:lang w:val="en-AU"/>
              </w:rPr>
              <w:t xml:space="preserve"> all herbs </w:t>
            </w:r>
            <w:r w:rsidR="000E6AE1">
              <w:rPr>
                <w:lang w:val="en-AU"/>
              </w:rPr>
              <w:t xml:space="preserve">as it </w:t>
            </w:r>
            <w:r w:rsidR="0032024A">
              <w:rPr>
                <w:lang w:val="en-AU"/>
              </w:rPr>
              <w:t xml:space="preserve">is not a practical practice and does not make sense. </w:t>
            </w:r>
            <w:r w:rsidR="00CC7DB6">
              <w:rPr>
                <w:lang w:val="en-AU"/>
              </w:rPr>
              <w:t>Any</w:t>
            </w:r>
            <w:r w:rsidR="00C94470">
              <w:rPr>
                <w:lang w:val="en-AU"/>
              </w:rPr>
              <w:t xml:space="preserve"> draft guideline</w:t>
            </w:r>
            <w:r w:rsidR="00CC7DB6">
              <w:rPr>
                <w:lang w:val="en-AU"/>
              </w:rPr>
              <w:t xml:space="preserve">s should have a wide related </w:t>
            </w:r>
            <w:r w:rsidR="00066A47">
              <w:rPr>
                <w:lang w:val="en-AU"/>
              </w:rPr>
              <w:t>variety and</w:t>
            </w:r>
            <w:r w:rsidR="00CC7DB6">
              <w:rPr>
                <w:lang w:val="en-AU"/>
              </w:rPr>
              <w:t xml:space="preserve"> extended academic references.</w:t>
            </w:r>
          </w:p>
          <w:p w:rsidR="00BB1FA5" w:rsidRDefault="00BB1FA5" w:rsidP="00964D11">
            <w:pPr>
              <w:pStyle w:val="AHPRAtabletext"/>
              <w:rPr>
                <w:color w:val="FF0000"/>
                <w:lang w:val="en-AU"/>
              </w:rPr>
            </w:pPr>
          </w:p>
          <w:p w:rsidR="00F37A64" w:rsidRDefault="0032024A" w:rsidP="00964D11">
            <w:pPr>
              <w:pStyle w:val="AHPRAtabletext"/>
              <w:rPr>
                <w:rFonts w:eastAsiaTheme="minorEastAsia"/>
                <w:lang w:val="en-AU" w:eastAsia="zh-CN"/>
              </w:rPr>
            </w:pPr>
            <w:r>
              <w:rPr>
                <w:lang w:val="en-AU"/>
              </w:rPr>
              <w:t xml:space="preserve">According to the question, 27% of Chinese herbs are sourced from multiple species, instead of finding ways to overcome the possible ambiguity of the 27%, the guideline is expanding the issue three folds </w:t>
            </w:r>
            <w:r w:rsidR="002C4828">
              <w:rPr>
                <w:lang w:val="en-AU"/>
              </w:rPr>
              <w:t xml:space="preserve">(to 73%) </w:t>
            </w:r>
            <w:r>
              <w:rPr>
                <w:lang w:val="en-AU"/>
              </w:rPr>
              <w:t>which cause more confusions and chaos.</w:t>
            </w:r>
          </w:p>
          <w:p w:rsidR="0019306D" w:rsidRDefault="0019306D" w:rsidP="00A712C4">
            <w:pPr>
              <w:pStyle w:val="AHPRAtabletext"/>
              <w:rPr>
                <w:rFonts w:eastAsiaTheme="minorEastAsia"/>
                <w:lang w:val="en-A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530"/>
              <w:gridCol w:w="1083"/>
              <w:gridCol w:w="1953"/>
              <w:gridCol w:w="839"/>
              <w:gridCol w:w="1560"/>
              <w:gridCol w:w="1270"/>
            </w:tblGrid>
            <w:tr w:rsidR="0032024A" w:rsidRPr="0032024A" w:rsidTr="00066A47">
              <w:trPr>
                <w:trHeight w:val="323"/>
              </w:trPr>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b/>
                      <w:bCs/>
                      <w:color w:val="000000"/>
                      <w:sz w:val="20"/>
                      <w:szCs w:val="20"/>
                      <w:lang w:eastAsia="en-US"/>
                    </w:rPr>
                    <w:t xml:space="preserve">Chinese name </w:t>
                  </w:r>
                </w:p>
              </w:tc>
              <w:tc>
                <w:tcPr>
                  <w:tcW w:w="1530" w:type="dxa"/>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b/>
                      <w:bCs/>
                      <w:color w:val="000000"/>
                      <w:sz w:val="20"/>
                      <w:szCs w:val="20"/>
                      <w:lang w:eastAsia="en-US"/>
                    </w:rPr>
                    <w:t xml:space="preserve">Pinyin name </w:t>
                  </w:r>
                </w:p>
              </w:tc>
              <w:tc>
                <w:tcPr>
                  <w:tcW w:w="1083" w:type="dxa"/>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b/>
                      <w:bCs/>
                      <w:color w:val="000000"/>
                      <w:sz w:val="20"/>
                      <w:szCs w:val="20"/>
                      <w:lang w:eastAsia="en-US"/>
                    </w:rPr>
                    <w:t xml:space="preserve">Common Name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b/>
                      <w:bCs/>
                      <w:color w:val="000000"/>
                      <w:sz w:val="20"/>
                      <w:szCs w:val="20"/>
                      <w:lang w:eastAsia="en-US"/>
                    </w:rPr>
                    <w:t xml:space="preserve">Pharmaceutical (Latinised) name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b/>
                      <w:bCs/>
                      <w:color w:val="000000"/>
                      <w:sz w:val="20"/>
                      <w:szCs w:val="20"/>
                      <w:lang w:eastAsia="en-US"/>
                    </w:rPr>
                    <w:t xml:space="preserve">Genus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b/>
                      <w:bCs/>
                      <w:color w:val="000000"/>
                      <w:sz w:val="20"/>
                      <w:szCs w:val="20"/>
                      <w:lang w:eastAsia="en-US"/>
                    </w:rPr>
                    <w:t xml:space="preserve">Botanical name (Genus and species)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b/>
                      <w:bCs/>
                      <w:color w:val="000000"/>
                      <w:sz w:val="20"/>
                      <w:szCs w:val="20"/>
                      <w:lang w:eastAsia="en-US"/>
                    </w:rPr>
                    <w:t xml:space="preserve">Source species in Chinese </w:t>
                  </w:r>
                </w:p>
              </w:tc>
            </w:tr>
            <w:tr w:rsidR="0032024A" w:rsidRPr="0032024A" w:rsidTr="00066A47">
              <w:trPr>
                <w:trHeight w:val="271"/>
              </w:trPr>
              <w:tc>
                <w:tcPr>
                  <w:tcW w:w="0" w:type="auto"/>
                </w:tcPr>
                <w:p w:rsidR="0032024A" w:rsidRPr="0032024A" w:rsidRDefault="0032024A" w:rsidP="0032024A">
                  <w:pPr>
                    <w:autoSpaceDE w:val="0"/>
                    <w:autoSpaceDN w:val="0"/>
                    <w:adjustRightInd w:val="0"/>
                    <w:jc w:val="left"/>
                    <w:rPr>
                      <w:rFonts w:ascii="MS Mincho" w:eastAsia="MS Mincho" w:cs="MS Mincho"/>
                      <w:color w:val="000000"/>
                      <w:sz w:val="20"/>
                      <w:szCs w:val="20"/>
                      <w:lang w:eastAsia="en-US"/>
                    </w:rPr>
                  </w:pPr>
                  <w:r w:rsidRPr="0032024A">
                    <w:rPr>
                      <w:rFonts w:ascii="MS Mincho" w:eastAsia="MS Mincho" w:cs="MS Mincho" w:hint="eastAsia"/>
                      <w:color w:val="000000"/>
                      <w:sz w:val="20"/>
                      <w:szCs w:val="20"/>
                      <w:lang w:eastAsia="en-US"/>
                    </w:rPr>
                    <w:t>百合</w:t>
                  </w:r>
                  <w:r w:rsidRPr="0032024A">
                    <w:rPr>
                      <w:rFonts w:ascii="MS Mincho" w:eastAsia="MS Mincho" w:cs="MS Mincho"/>
                      <w:color w:val="000000"/>
                      <w:sz w:val="20"/>
                      <w:szCs w:val="20"/>
                      <w:lang w:eastAsia="en-US"/>
                    </w:rPr>
                    <w:t xml:space="preserve"> </w:t>
                  </w:r>
                  <w:r>
                    <w:rPr>
                      <w:rFonts w:ascii="MS Mincho" w:eastAsia="MS Mincho" w:cs="MS Mincho"/>
                      <w:color w:val="000000"/>
                      <w:sz w:val="20"/>
                      <w:szCs w:val="20"/>
                      <w:lang w:eastAsia="en-US"/>
                    </w:rPr>
                    <w:t>(1)</w:t>
                  </w:r>
                </w:p>
              </w:tc>
              <w:tc>
                <w:tcPr>
                  <w:tcW w:w="1530" w:type="dxa"/>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color w:val="000000"/>
                      <w:sz w:val="20"/>
                      <w:szCs w:val="20"/>
                      <w:lang w:eastAsia="en-US"/>
                    </w:rPr>
                    <w:t>Baihe</w:t>
                  </w:r>
                  <w:proofErr w:type="spellEnd"/>
                  <w:r w:rsidRPr="0032024A">
                    <w:rPr>
                      <w:rFonts w:eastAsiaTheme="minorEastAsia"/>
                      <w:color w:val="000000"/>
                      <w:sz w:val="20"/>
                      <w:szCs w:val="20"/>
                      <w:lang w:eastAsia="en-US"/>
                    </w:rPr>
                    <w:t xml:space="preserve"> </w:t>
                  </w:r>
                </w:p>
              </w:tc>
              <w:tc>
                <w:tcPr>
                  <w:tcW w:w="1083" w:type="dxa"/>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color w:val="000000"/>
                      <w:sz w:val="20"/>
                      <w:szCs w:val="20"/>
                      <w:lang w:eastAsia="en-US"/>
                    </w:rPr>
                    <w:t xml:space="preserve">Lily Bulb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color w:val="000000"/>
                      <w:sz w:val="20"/>
                      <w:szCs w:val="20"/>
                      <w:lang w:eastAsia="en-US"/>
                    </w:rPr>
                    <w:t>Lilii</w:t>
                  </w:r>
                  <w:proofErr w:type="spellEnd"/>
                  <w:r w:rsidRPr="0032024A">
                    <w:rPr>
                      <w:rFonts w:eastAsiaTheme="minorEastAsia"/>
                      <w:color w:val="000000"/>
                      <w:sz w:val="20"/>
                      <w:szCs w:val="20"/>
                      <w:lang w:eastAsia="en-US"/>
                    </w:rPr>
                    <w:t xml:space="preserve"> </w:t>
                  </w:r>
                  <w:proofErr w:type="spellStart"/>
                  <w:r w:rsidRPr="0032024A">
                    <w:rPr>
                      <w:rFonts w:eastAsiaTheme="minorEastAsia"/>
                      <w:color w:val="000000"/>
                      <w:sz w:val="20"/>
                      <w:szCs w:val="20"/>
                      <w:lang w:eastAsia="en-US"/>
                    </w:rPr>
                    <w:t>Bulbus</w:t>
                  </w:r>
                  <w:proofErr w:type="spellEnd"/>
                  <w:r w:rsidRPr="0032024A">
                    <w:rPr>
                      <w:rFonts w:eastAsiaTheme="minorEastAsia"/>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i/>
                      <w:iCs/>
                      <w:color w:val="000000"/>
                      <w:sz w:val="20"/>
                      <w:szCs w:val="20"/>
                      <w:lang w:eastAsia="en-US"/>
                    </w:rPr>
                    <w:t>Lilium</w:t>
                  </w:r>
                  <w:proofErr w:type="spellEnd"/>
                  <w:r w:rsidRPr="0032024A">
                    <w:rPr>
                      <w:rFonts w:eastAsiaTheme="minorEastAsia"/>
                      <w:i/>
                      <w:iCs/>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i/>
                      <w:iCs/>
                      <w:color w:val="000000"/>
                      <w:sz w:val="20"/>
                      <w:szCs w:val="20"/>
                      <w:lang w:eastAsia="en-US"/>
                    </w:rPr>
                    <w:t>Lilium</w:t>
                  </w:r>
                  <w:proofErr w:type="spellEnd"/>
                  <w:r w:rsidRPr="0032024A">
                    <w:rPr>
                      <w:rFonts w:eastAsiaTheme="minorEastAsia"/>
                      <w:i/>
                      <w:iCs/>
                      <w:color w:val="000000"/>
                      <w:sz w:val="20"/>
                      <w:szCs w:val="20"/>
                      <w:lang w:eastAsia="en-US"/>
                    </w:rPr>
                    <w:t xml:space="preserve"> </w:t>
                  </w:r>
                  <w:proofErr w:type="spellStart"/>
                  <w:r w:rsidRPr="0032024A">
                    <w:rPr>
                      <w:rFonts w:eastAsiaTheme="minorEastAsia"/>
                      <w:i/>
                      <w:iCs/>
                      <w:color w:val="000000"/>
                      <w:sz w:val="20"/>
                      <w:szCs w:val="20"/>
                      <w:lang w:eastAsia="en-US"/>
                    </w:rPr>
                    <w:t>brownii</w:t>
                  </w:r>
                  <w:proofErr w:type="spellEnd"/>
                  <w:r w:rsidRPr="0032024A">
                    <w:rPr>
                      <w:rFonts w:eastAsiaTheme="minorEastAsia"/>
                      <w:i/>
                      <w:iCs/>
                      <w:color w:val="000000"/>
                      <w:sz w:val="20"/>
                      <w:szCs w:val="20"/>
                      <w:lang w:eastAsia="en-US"/>
                    </w:rPr>
                    <w:t xml:space="preserve"> var. </w:t>
                  </w:r>
                  <w:proofErr w:type="spellStart"/>
                  <w:r w:rsidRPr="0032024A">
                    <w:rPr>
                      <w:rFonts w:eastAsiaTheme="minorEastAsia"/>
                      <w:i/>
                      <w:iCs/>
                      <w:color w:val="000000"/>
                      <w:sz w:val="20"/>
                      <w:szCs w:val="20"/>
                      <w:lang w:eastAsia="en-US"/>
                    </w:rPr>
                    <w:t>viridulum</w:t>
                  </w:r>
                  <w:proofErr w:type="spellEnd"/>
                  <w:r w:rsidRPr="0032024A">
                    <w:rPr>
                      <w:rFonts w:eastAsiaTheme="minorEastAsia"/>
                      <w:i/>
                      <w:iCs/>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ascii="MingLiU" w:eastAsia="MingLiU" w:cs="MingLiU"/>
                      <w:color w:val="000000"/>
                      <w:sz w:val="20"/>
                      <w:szCs w:val="20"/>
                      <w:lang w:eastAsia="en-US"/>
                    </w:rPr>
                  </w:pPr>
                  <w:proofErr w:type="spellStart"/>
                  <w:r w:rsidRPr="0032024A">
                    <w:rPr>
                      <w:rFonts w:ascii="MingLiU" w:eastAsia="MingLiU" w:cs="MingLiU" w:hint="eastAsia"/>
                      <w:color w:val="000000"/>
                      <w:sz w:val="20"/>
                      <w:szCs w:val="20"/>
                      <w:lang w:eastAsia="en-US"/>
                    </w:rPr>
                    <w:t>百合</w:t>
                  </w:r>
                  <w:proofErr w:type="spellEnd"/>
                  <w:r w:rsidRPr="0032024A">
                    <w:rPr>
                      <w:rFonts w:ascii="MingLiU" w:eastAsia="MingLiU" w:cs="MingLiU"/>
                      <w:color w:val="000000"/>
                      <w:sz w:val="20"/>
                      <w:szCs w:val="20"/>
                      <w:lang w:eastAsia="en-US"/>
                    </w:rPr>
                    <w:t xml:space="preserve"> </w:t>
                  </w:r>
                </w:p>
              </w:tc>
            </w:tr>
            <w:tr w:rsidR="0032024A" w:rsidRPr="0032024A" w:rsidTr="00066A47">
              <w:trPr>
                <w:trHeight w:val="133"/>
              </w:trPr>
              <w:tc>
                <w:tcPr>
                  <w:tcW w:w="0" w:type="auto"/>
                </w:tcPr>
                <w:p w:rsidR="0032024A" w:rsidRPr="0032024A" w:rsidRDefault="0032024A" w:rsidP="0032024A">
                  <w:pPr>
                    <w:autoSpaceDE w:val="0"/>
                    <w:autoSpaceDN w:val="0"/>
                    <w:adjustRightInd w:val="0"/>
                    <w:jc w:val="left"/>
                    <w:rPr>
                      <w:rFonts w:ascii="MS Mincho" w:eastAsia="MS Mincho" w:cs="MS Mincho"/>
                      <w:color w:val="000000"/>
                      <w:sz w:val="20"/>
                      <w:szCs w:val="20"/>
                      <w:lang w:eastAsia="en-US"/>
                    </w:rPr>
                  </w:pPr>
                  <w:proofErr w:type="spellStart"/>
                  <w:r w:rsidRPr="002C4828">
                    <w:rPr>
                      <w:rFonts w:ascii="MS Mincho" w:eastAsia="MS Mincho" w:cs="MS Mincho" w:hint="eastAsia"/>
                      <w:strike/>
                      <w:color w:val="000000"/>
                      <w:sz w:val="20"/>
                      <w:szCs w:val="20"/>
                      <w:lang w:eastAsia="en-US"/>
                    </w:rPr>
                    <w:t>百合</w:t>
                  </w:r>
                  <w:proofErr w:type="spellEnd"/>
                  <w:r w:rsidRPr="0032024A">
                    <w:rPr>
                      <w:rFonts w:ascii="MS Mincho" w:eastAsia="MS Mincho" w:cs="MS Mincho"/>
                      <w:color w:val="000000"/>
                      <w:sz w:val="20"/>
                      <w:szCs w:val="20"/>
                      <w:lang w:eastAsia="en-US"/>
                    </w:rPr>
                    <w:t xml:space="preserve"> </w:t>
                  </w:r>
                  <w:r>
                    <w:rPr>
                      <w:rFonts w:ascii="MS Mincho" w:eastAsia="MS Mincho" w:cs="MS Mincho"/>
                      <w:color w:val="000000"/>
                      <w:sz w:val="20"/>
                      <w:szCs w:val="20"/>
                      <w:lang w:eastAsia="en-US"/>
                    </w:rPr>
                    <w:t>(2)</w:t>
                  </w:r>
                  <w:r w:rsidR="002C4828" w:rsidRPr="0032024A">
                    <w:rPr>
                      <w:rFonts w:ascii="MingLiU" w:eastAsia="MingLiU" w:cs="MingLiU" w:hint="eastAsia"/>
                      <w:color w:val="000000"/>
                      <w:sz w:val="20"/>
                      <w:szCs w:val="20"/>
                      <w:lang w:eastAsia="en-US"/>
                    </w:rPr>
                    <w:t xml:space="preserve"> </w:t>
                  </w:r>
                  <w:proofErr w:type="spellStart"/>
                  <w:r w:rsidR="002C4828" w:rsidRPr="0032024A">
                    <w:rPr>
                      <w:rFonts w:ascii="MingLiU" w:eastAsia="MingLiU" w:cs="MingLiU" w:hint="eastAsia"/>
                      <w:color w:val="000000"/>
                      <w:sz w:val="20"/>
                      <w:szCs w:val="20"/>
                      <w:lang w:eastAsia="en-US"/>
                    </w:rPr>
                    <w:t>卷丹</w:t>
                  </w:r>
                  <w:proofErr w:type="spellEnd"/>
                </w:p>
              </w:tc>
              <w:tc>
                <w:tcPr>
                  <w:tcW w:w="1530" w:type="dxa"/>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2C4828">
                    <w:rPr>
                      <w:rFonts w:eastAsiaTheme="minorEastAsia"/>
                      <w:strike/>
                      <w:color w:val="000000"/>
                      <w:sz w:val="20"/>
                      <w:szCs w:val="20"/>
                      <w:lang w:eastAsia="en-US"/>
                    </w:rPr>
                    <w:t>Baihe</w:t>
                  </w:r>
                  <w:proofErr w:type="spellEnd"/>
                  <w:r w:rsidRPr="002C4828">
                    <w:rPr>
                      <w:rFonts w:eastAsiaTheme="minorEastAsia"/>
                      <w:strike/>
                      <w:color w:val="000000"/>
                      <w:sz w:val="20"/>
                      <w:szCs w:val="20"/>
                      <w:lang w:eastAsia="en-US"/>
                    </w:rPr>
                    <w:t xml:space="preserve"> </w:t>
                  </w:r>
                  <w:r w:rsidR="002C4828" w:rsidRPr="00F37A64">
                    <w:t>Juan Dan</w:t>
                  </w:r>
                </w:p>
              </w:tc>
              <w:tc>
                <w:tcPr>
                  <w:tcW w:w="1083" w:type="dxa"/>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color w:val="000000"/>
                      <w:sz w:val="20"/>
                      <w:szCs w:val="20"/>
                      <w:lang w:eastAsia="en-US"/>
                    </w:rPr>
                    <w:t xml:space="preserve">Lily Bulb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color w:val="000000"/>
                      <w:sz w:val="20"/>
                      <w:szCs w:val="20"/>
                      <w:lang w:eastAsia="en-US"/>
                    </w:rPr>
                    <w:t>Lilii</w:t>
                  </w:r>
                  <w:proofErr w:type="spellEnd"/>
                  <w:r w:rsidRPr="0032024A">
                    <w:rPr>
                      <w:rFonts w:eastAsiaTheme="minorEastAsia"/>
                      <w:color w:val="000000"/>
                      <w:sz w:val="20"/>
                      <w:szCs w:val="20"/>
                      <w:lang w:eastAsia="en-US"/>
                    </w:rPr>
                    <w:t xml:space="preserve"> </w:t>
                  </w:r>
                  <w:proofErr w:type="spellStart"/>
                  <w:r w:rsidRPr="0032024A">
                    <w:rPr>
                      <w:rFonts w:eastAsiaTheme="minorEastAsia"/>
                      <w:color w:val="000000"/>
                      <w:sz w:val="20"/>
                      <w:szCs w:val="20"/>
                      <w:lang w:eastAsia="en-US"/>
                    </w:rPr>
                    <w:t>Bulbus</w:t>
                  </w:r>
                  <w:proofErr w:type="spellEnd"/>
                  <w:r w:rsidRPr="0032024A">
                    <w:rPr>
                      <w:rFonts w:eastAsiaTheme="minorEastAsia"/>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i/>
                      <w:iCs/>
                      <w:color w:val="000000"/>
                      <w:sz w:val="20"/>
                      <w:szCs w:val="20"/>
                      <w:lang w:eastAsia="en-US"/>
                    </w:rPr>
                    <w:t>Lilium</w:t>
                  </w:r>
                  <w:proofErr w:type="spellEnd"/>
                  <w:r w:rsidRPr="0032024A">
                    <w:rPr>
                      <w:rFonts w:eastAsiaTheme="minorEastAsia"/>
                      <w:i/>
                      <w:iCs/>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i/>
                      <w:iCs/>
                      <w:color w:val="000000"/>
                      <w:sz w:val="20"/>
                      <w:szCs w:val="20"/>
                      <w:lang w:eastAsia="en-US"/>
                    </w:rPr>
                    <w:t>Lilium</w:t>
                  </w:r>
                  <w:proofErr w:type="spellEnd"/>
                  <w:r w:rsidRPr="0032024A">
                    <w:rPr>
                      <w:rFonts w:eastAsiaTheme="minorEastAsia"/>
                      <w:i/>
                      <w:iCs/>
                      <w:color w:val="000000"/>
                      <w:sz w:val="20"/>
                      <w:szCs w:val="20"/>
                      <w:lang w:eastAsia="en-US"/>
                    </w:rPr>
                    <w:t xml:space="preserve"> </w:t>
                  </w:r>
                  <w:proofErr w:type="spellStart"/>
                  <w:r w:rsidRPr="0032024A">
                    <w:rPr>
                      <w:rFonts w:eastAsiaTheme="minorEastAsia"/>
                      <w:i/>
                      <w:iCs/>
                      <w:color w:val="000000"/>
                      <w:sz w:val="20"/>
                      <w:szCs w:val="20"/>
                      <w:lang w:eastAsia="en-US"/>
                    </w:rPr>
                    <w:t>lancifolium</w:t>
                  </w:r>
                  <w:proofErr w:type="spellEnd"/>
                  <w:r w:rsidRPr="0032024A">
                    <w:rPr>
                      <w:rFonts w:eastAsiaTheme="minorEastAsia"/>
                      <w:i/>
                      <w:iCs/>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ascii="MingLiU" w:eastAsia="MingLiU" w:cs="MingLiU"/>
                      <w:color w:val="000000"/>
                      <w:sz w:val="20"/>
                      <w:szCs w:val="20"/>
                      <w:lang w:eastAsia="en-US"/>
                    </w:rPr>
                  </w:pPr>
                  <w:proofErr w:type="spellStart"/>
                  <w:r w:rsidRPr="0032024A">
                    <w:rPr>
                      <w:rFonts w:ascii="MingLiU" w:eastAsia="MingLiU" w:cs="MingLiU" w:hint="eastAsia"/>
                      <w:color w:val="000000"/>
                      <w:sz w:val="20"/>
                      <w:szCs w:val="20"/>
                      <w:lang w:eastAsia="en-US"/>
                    </w:rPr>
                    <w:t>卷丹</w:t>
                  </w:r>
                  <w:proofErr w:type="spellEnd"/>
                  <w:r w:rsidRPr="0032024A">
                    <w:rPr>
                      <w:rFonts w:ascii="MingLiU" w:eastAsia="MingLiU" w:cs="MingLiU"/>
                      <w:color w:val="000000"/>
                      <w:sz w:val="20"/>
                      <w:szCs w:val="20"/>
                      <w:lang w:eastAsia="en-US"/>
                    </w:rPr>
                    <w:t xml:space="preserve"> </w:t>
                  </w:r>
                </w:p>
              </w:tc>
            </w:tr>
            <w:tr w:rsidR="0032024A" w:rsidRPr="0032024A" w:rsidTr="00066A47">
              <w:trPr>
                <w:trHeight w:val="229"/>
              </w:trPr>
              <w:tc>
                <w:tcPr>
                  <w:tcW w:w="0" w:type="auto"/>
                </w:tcPr>
                <w:p w:rsidR="0032024A" w:rsidRPr="0032024A" w:rsidRDefault="0032024A" w:rsidP="0032024A">
                  <w:pPr>
                    <w:autoSpaceDE w:val="0"/>
                    <w:autoSpaceDN w:val="0"/>
                    <w:adjustRightInd w:val="0"/>
                    <w:jc w:val="left"/>
                    <w:rPr>
                      <w:rFonts w:ascii="MS Mincho" w:eastAsia="MS Mincho" w:cs="MS Mincho"/>
                      <w:color w:val="000000"/>
                      <w:sz w:val="20"/>
                      <w:szCs w:val="20"/>
                      <w:lang w:eastAsia="en-US"/>
                    </w:rPr>
                  </w:pPr>
                  <w:r w:rsidRPr="002C4828">
                    <w:rPr>
                      <w:rFonts w:ascii="MS Mincho" w:eastAsia="MS Mincho" w:cs="MS Mincho" w:hint="eastAsia"/>
                      <w:strike/>
                      <w:color w:val="000000"/>
                      <w:sz w:val="20"/>
                      <w:szCs w:val="20"/>
                      <w:lang w:eastAsia="en-US"/>
                    </w:rPr>
                    <w:t>百合</w:t>
                  </w:r>
                  <w:r w:rsidRPr="0032024A">
                    <w:rPr>
                      <w:rFonts w:ascii="MS Mincho" w:eastAsia="MS Mincho" w:cs="MS Mincho"/>
                      <w:color w:val="000000"/>
                      <w:sz w:val="20"/>
                      <w:szCs w:val="20"/>
                      <w:lang w:eastAsia="en-US"/>
                    </w:rPr>
                    <w:t xml:space="preserve"> </w:t>
                  </w:r>
                  <w:r>
                    <w:rPr>
                      <w:rFonts w:ascii="MS Mincho" w:eastAsia="MS Mincho" w:cs="MS Mincho"/>
                      <w:color w:val="000000"/>
                      <w:sz w:val="20"/>
                      <w:szCs w:val="20"/>
                      <w:lang w:eastAsia="en-US"/>
                    </w:rPr>
                    <w:t>(3)</w:t>
                  </w:r>
                  <w:r w:rsidR="002C4828" w:rsidRPr="0032024A">
                    <w:rPr>
                      <w:rFonts w:ascii="MingLiU" w:eastAsia="MingLiU" w:cs="MingLiU" w:hint="eastAsia"/>
                      <w:color w:val="000000"/>
                      <w:sz w:val="20"/>
                      <w:szCs w:val="20"/>
                      <w:lang w:eastAsia="en-US"/>
                    </w:rPr>
                    <w:t xml:space="preserve"> 细叶百合</w:t>
                  </w:r>
                </w:p>
              </w:tc>
              <w:tc>
                <w:tcPr>
                  <w:tcW w:w="1530" w:type="dxa"/>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2C4828">
                    <w:rPr>
                      <w:rFonts w:eastAsiaTheme="minorEastAsia"/>
                      <w:strike/>
                      <w:color w:val="000000"/>
                      <w:sz w:val="20"/>
                      <w:szCs w:val="20"/>
                      <w:lang w:eastAsia="en-US"/>
                    </w:rPr>
                    <w:t>Baihe</w:t>
                  </w:r>
                  <w:proofErr w:type="spellEnd"/>
                  <w:r w:rsidRPr="0032024A">
                    <w:rPr>
                      <w:rFonts w:eastAsiaTheme="minorEastAsia"/>
                      <w:color w:val="000000"/>
                      <w:sz w:val="20"/>
                      <w:szCs w:val="20"/>
                      <w:lang w:eastAsia="en-US"/>
                    </w:rPr>
                    <w:t xml:space="preserve"> </w:t>
                  </w:r>
                  <w:proofErr w:type="spellStart"/>
                  <w:r w:rsidR="002C4828" w:rsidRPr="00F37A64">
                    <w:t>XiYe</w:t>
                  </w:r>
                  <w:proofErr w:type="spellEnd"/>
                  <w:r w:rsidR="002C4828" w:rsidRPr="00F37A64">
                    <w:t xml:space="preserve"> </w:t>
                  </w:r>
                  <w:proofErr w:type="spellStart"/>
                  <w:r w:rsidR="002C4828" w:rsidRPr="00F37A64">
                    <w:t>Baihe</w:t>
                  </w:r>
                  <w:proofErr w:type="spellEnd"/>
                  <w:r w:rsidR="002C4828">
                    <w:t>.</w:t>
                  </w:r>
                </w:p>
              </w:tc>
              <w:tc>
                <w:tcPr>
                  <w:tcW w:w="1083" w:type="dxa"/>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color w:val="000000"/>
                      <w:sz w:val="20"/>
                      <w:szCs w:val="20"/>
                      <w:lang w:eastAsia="en-US"/>
                    </w:rPr>
                    <w:t xml:space="preserve">Lily Bulb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color w:val="000000"/>
                      <w:sz w:val="20"/>
                      <w:szCs w:val="20"/>
                      <w:lang w:eastAsia="en-US"/>
                    </w:rPr>
                    <w:t>Lilii</w:t>
                  </w:r>
                  <w:proofErr w:type="spellEnd"/>
                  <w:r w:rsidRPr="0032024A">
                    <w:rPr>
                      <w:rFonts w:eastAsiaTheme="minorEastAsia"/>
                      <w:color w:val="000000"/>
                      <w:sz w:val="20"/>
                      <w:szCs w:val="20"/>
                      <w:lang w:eastAsia="en-US"/>
                    </w:rPr>
                    <w:t xml:space="preserve"> </w:t>
                  </w:r>
                  <w:proofErr w:type="spellStart"/>
                  <w:r w:rsidRPr="0032024A">
                    <w:rPr>
                      <w:rFonts w:eastAsiaTheme="minorEastAsia"/>
                      <w:color w:val="000000"/>
                      <w:sz w:val="20"/>
                      <w:szCs w:val="20"/>
                      <w:lang w:eastAsia="en-US"/>
                    </w:rPr>
                    <w:t>Bulbus</w:t>
                  </w:r>
                  <w:proofErr w:type="spellEnd"/>
                  <w:r w:rsidRPr="0032024A">
                    <w:rPr>
                      <w:rFonts w:eastAsiaTheme="minorEastAsia"/>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i/>
                      <w:iCs/>
                      <w:color w:val="000000"/>
                      <w:sz w:val="20"/>
                      <w:szCs w:val="20"/>
                      <w:lang w:eastAsia="en-US"/>
                    </w:rPr>
                    <w:t>Lilium</w:t>
                  </w:r>
                  <w:proofErr w:type="spellEnd"/>
                  <w:r w:rsidRPr="0032024A">
                    <w:rPr>
                      <w:rFonts w:eastAsiaTheme="minorEastAsia"/>
                      <w:i/>
                      <w:iCs/>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i/>
                      <w:iCs/>
                      <w:color w:val="000000"/>
                      <w:sz w:val="20"/>
                      <w:szCs w:val="20"/>
                      <w:lang w:eastAsia="en-US"/>
                    </w:rPr>
                    <w:t>Lilium</w:t>
                  </w:r>
                  <w:proofErr w:type="spellEnd"/>
                  <w:r w:rsidRPr="0032024A">
                    <w:rPr>
                      <w:rFonts w:eastAsiaTheme="minorEastAsia"/>
                      <w:i/>
                      <w:iCs/>
                      <w:color w:val="000000"/>
                      <w:sz w:val="20"/>
                      <w:szCs w:val="20"/>
                      <w:lang w:eastAsia="en-US"/>
                    </w:rPr>
                    <w:t xml:space="preserve"> </w:t>
                  </w:r>
                  <w:proofErr w:type="spellStart"/>
                  <w:r w:rsidRPr="0032024A">
                    <w:rPr>
                      <w:rFonts w:eastAsiaTheme="minorEastAsia"/>
                      <w:i/>
                      <w:iCs/>
                      <w:color w:val="000000"/>
                      <w:sz w:val="20"/>
                      <w:szCs w:val="20"/>
                      <w:lang w:eastAsia="en-US"/>
                    </w:rPr>
                    <w:t>pumilum</w:t>
                  </w:r>
                  <w:proofErr w:type="spellEnd"/>
                  <w:r w:rsidRPr="0032024A">
                    <w:rPr>
                      <w:rFonts w:eastAsiaTheme="minorEastAsia"/>
                      <w:i/>
                      <w:iCs/>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ascii="MingLiU" w:eastAsia="MingLiU" w:cs="MingLiU"/>
                      <w:color w:val="000000"/>
                      <w:sz w:val="20"/>
                      <w:szCs w:val="20"/>
                      <w:lang w:eastAsia="en-US"/>
                    </w:rPr>
                  </w:pPr>
                  <w:proofErr w:type="spellStart"/>
                  <w:r w:rsidRPr="0032024A">
                    <w:rPr>
                      <w:rFonts w:ascii="MingLiU" w:eastAsia="MingLiU" w:cs="MingLiU" w:hint="eastAsia"/>
                      <w:color w:val="000000"/>
                      <w:sz w:val="20"/>
                      <w:szCs w:val="20"/>
                      <w:lang w:eastAsia="en-US"/>
                    </w:rPr>
                    <w:t>细叶百合</w:t>
                  </w:r>
                  <w:proofErr w:type="spellEnd"/>
                  <w:r w:rsidRPr="0032024A">
                    <w:rPr>
                      <w:rFonts w:ascii="MingLiU" w:eastAsia="MingLiU" w:cs="MingLiU"/>
                      <w:color w:val="000000"/>
                      <w:sz w:val="20"/>
                      <w:szCs w:val="20"/>
                      <w:lang w:eastAsia="en-US"/>
                    </w:rPr>
                    <w:t xml:space="preserve"> </w:t>
                  </w:r>
                </w:p>
              </w:tc>
            </w:tr>
          </w:tbl>
          <w:p w:rsidR="00964D11" w:rsidRDefault="00964D11" w:rsidP="0032024A">
            <w:pPr>
              <w:pStyle w:val="AHPRAtabletext"/>
              <w:rPr>
                <w:lang w:val="en-AU"/>
              </w:rPr>
            </w:pPr>
          </w:p>
          <w:p w:rsidR="0032024A" w:rsidRDefault="0032024A" w:rsidP="0032024A">
            <w:pPr>
              <w:pStyle w:val="AHPRAtabletext"/>
              <w:rPr>
                <w:lang w:val="en-AU"/>
              </w:rPr>
            </w:pPr>
          </w:p>
          <w:p w:rsidR="0032024A" w:rsidRDefault="003426A9" w:rsidP="0032024A">
            <w:pPr>
              <w:pStyle w:val="AHPRAtabletext"/>
              <w:rPr>
                <w:lang w:val="en-AU"/>
              </w:rPr>
            </w:pPr>
            <w:r>
              <w:rPr>
                <w:lang w:val="en-AU"/>
              </w:rPr>
              <w:t xml:space="preserve">Prescriptions and labelling should be in consistence with Pinyin and Chinese characters at all times, </w:t>
            </w:r>
            <w:r w:rsidR="00F21674">
              <w:rPr>
                <w:lang w:val="en-AU"/>
              </w:rPr>
              <w:t>and with</w:t>
            </w:r>
            <w:r w:rsidR="00F21674" w:rsidRPr="001D1DE8">
              <w:t xml:space="preserve"> </w:t>
            </w:r>
            <w:r w:rsidR="00F21674" w:rsidRPr="001D1DE8">
              <w:rPr>
                <w:lang w:val="en-AU"/>
              </w:rPr>
              <w:t>the pharmaceutical name</w:t>
            </w:r>
            <w:r w:rsidR="00F21674">
              <w:t xml:space="preserve"> or</w:t>
            </w:r>
            <w:r w:rsidR="00F21674">
              <w:rPr>
                <w:lang w:val="en-AU"/>
              </w:rPr>
              <w:t xml:space="preserve"> </w:t>
            </w:r>
            <w:r>
              <w:rPr>
                <w:lang w:val="en-AU"/>
              </w:rPr>
              <w:t>botanical name in addition only under the circumstances of different herbs with same pinyin, and different Chinese characters.</w:t>
            </w:r>
          </w:p>
          <w:p w:rsidR="003426A9" w:rsidRDefault="003426A9" w:rsidP="0032024A">
            <w:pPr>
              <w:pStyle w:val="AHPRAtabletext"/>
              <w:rPr>
                <w:lang w:val="en-AU"/>
              </w:rPr>
            </w:pPr>
            <w:r w:rsidRPr="007B3E8A">
              <w:rPr>
                <w:rFonts w:hint="eastAsia"/>
                <w:iCs/>
              </w:rPr>
              <w:t>I</w:t>
            </w:r>
            <w:r w:rsidRPr="007B3E8A">
              <w:t>t is proposed that an authority on the authentication of CMM be established, as a physical institution and/or as an electronic database</w:t>
            </w:r>
            <w:r>
              <w:t>.</w:t>
            </w:r>
          </w:p>
          <w:p w:rsidR="003426A9" w:rsidRPr="001D1DE8" w:rsidRDefault="003426A9" w:rsidP="0032024A">
            <w:pPr>
              <w:pStyle w:val="AHPRAtabletext"/>
              <w:rPr>
                <w:lang w:val="en-AU"/>
              </w:rPr>
            </w:pPr>
          </w:p>
        </w:tc>
      </w:tr>
      <w:tr w:rsidR="00964D11" w:rsidRPr="001D1DE8" w:rsidTr="00E91B49">
        <w:tc>
          <w:tcPr>
            <w:tcW w:w="5000" w:type="pct"/>
            <w:shd w:val="clear" w:color="auto" w:fill="DAEEF3" w:themeFill="accent5" w:themeFillTint="33"/>
          </w:tcPr>
          <w:p w:rsidR="00964D11" w:rsidRPr="001D1DE8" w:rsidRDefault="001D1DE8" w:rsidP="004A148A">
            <w:pPr>
              <w:pStyle w:val="AHPRANumberedlistlevel1"/>
              <w:rPr>
                <w:lang w:val="en-AU"/>
              </w:rPr>
            </w:pPr>
            <w:r w:rsidRPr="001D1DE8">
              <w:rPr>
                <w:lang w:val="en-AU"/>
              </w:rPr>
              <w:t>Are the labelling requirements practical to implement?</w:t>
            </w:r>
            <w:r w:rsidR="00342923">
              <w:rPr>
                <w:rFonts w:eastAsiaTheme="minorEastAsia" w:hint="eastAsia"/>
                <w:lang w:val="en-AU" w:eastAsia="zh-CN"/>
              </w:rPr>
              <w:t xml:space="preserve"> </w:t>
            </w:r>
          </w:p>
        </w:tc>
      </w:tr>
      <w:tr w:rsidR="00964D11" w:rsidRPr="001D1DE8" w:rsidTr="000E6AE1">
        <w:trPr>
          <w:trHeight w:val="832"/>
        </w:trPr>
        <w:tc>
          <w:tcPr>
            <w:tcW w:w="5000" w:type="pct"/>
          </w:tcPr>
          <w:p w:rsidR="00964D11" w:rsidRPr="001D1DE8" w:rsidRDefault="002C4828" w:rsidP="00CC7DB6">
            <w:pPr>
              <w:pStyle w:val="AHPRAtabletext"/>
              <w:rPr>
                <w:lang w:val="en-AU"/>
              </w:rPr>
            </w:pPr>
            <w:r>
              <w:rPr>
                <w:lang w:val="en-AU"/>
              </w:rPr>
              <w:t xml:space="preserve">The draft, as it </w:t>
            </w:r>
            <w:r w:rsidR="00BB1FA5">
              <w:rPr>
                <w:lang w:val="en-AU"/>
              </w:rPr>
              <w:t>is, is unjust and not practical</w:t>
            </w:r>
            <w:r w:rsidR="00BB1FA5" w:rsidRPr="00BB1FA5">
              <w:rPr>
                <w:color w:val="FF0000"/>
                <w:lang w:val="en-AU"/>
              </w:rPr>
              <w:t>.</w:t>
            </w:r>
            <w:r w:rsidRPr="00CC7DB6">
              <w:rPr>
                <w:lang w:val="en-AU"/>
              </w:rPr>
              <w:t xml:space="preserve"> </w:t>
            </w:r>
            <w:r w:rsidR="00CC7DB6" w:rsidRPr="00CC7DB6">
              <w:rPr>
                <w:lang w:val="en-AU"/>
              </w:rPr>
              <w:t>I</w:t>
            </w:r>
            <w:r w:rsidRPr="00CC7DB6">
              <w:rPr>
                <w:lang w:val="en-AU"/>
              </w:rPr>
              <w:t>t w</w:t>
            </w:r>
            <w:r>
              <w:rPr>
                <w:lang w:val="en-AU"/>
              </w:rPr>
              <w:t xml:space="preserve">ill cause more confusions at clinical practice and distract practitioners’ attention and time </w:t>
            </w:r>
            <w:r w:rsidR="000E6AE1">
              <w:rPr>
                <w:lang w:val="en-AU"/>
              </w:rPr>
              <w:t>from patients which contradict to both the profession’s and CMBA’s mission of protecting public safety.</w:t>
            </w:r>
            <w:r w:rsidR="000E6AE1" w:rsidRPr="001D1DE8">
              <w:rPr>
                <w:lang w:val="en-AU"/>
              </w:rPr>
              <w:t xml:space="preserve"> </w:t>
            </w:r>
          </w:p>
        </w:tc>
      </w:tr>
      <w:tr w:rsidR="00964D11" w:rsidRPr="001D1DE8" w:rsidTr="00E91B49">
        <w:tc>
          <w:tcPr>
            <w:tcW w:w="5000" w:type="pct"/>
            <w:shd w:val="clear" w:color="auto" w:fill="DAEEF3" w:themeFill="accent5" w:themeFillTint="33"/>
          </w:tcPr>
          <w:p w:rsidR="00964D11" w:rsidRPr="001D1DE8" w:rsidRDefault="001D1DE8" w:rsidP="004A148A">
            <w:pPr>
              <w:pStyle w:val="AHPRANumberedlistlevel1"/>
              <w:rPr>
                <w:lang w:val="en-AU"/>
              </w:rPr>
            </w:pPr>
            <w:r>
              <w:t>Is the required information for prescriptions appropriate?</w:t>
            </w:r>
          </w:p>
        </w:tc>
      </w:tr>
      <w:tr w:rsidR="00964D11" w:rsidRPr="001D1DE8" w:rsidTr="00E91B49">
        <w:tc>
          <w:tcPr>
            <w:tcW w:w="5000" w:type="pct"/>
          </w:tcPr>
          <w:p w:rsidR="00964D11" w:rsidRPr="001D1DE8" w:rsidRDefault="00066A47" w:rsidP="0023488B">
            <w:pPr>
              <w:pStyle w:val="AHPRAtabletext"/>
              <w:rPr>
                <w:lang w:val="en-AU"/>
              </w:rPr>
            </w:pPr>
            <w:r>
              <w:rPr>
                <w:rFonts w:eastAsiaTheme="minorEastAsia" w:cs="Times New Roman" w:hint="eastAsia"/>
                <w:szCs w:val="24"/>
                <w:lang w:eastAsia="zh-CN"/>
              </w:rPr>
              <w:t>no</w:t>
            </w:r>
            <w:r w:rsidR="000E6AE1">
              <w:rPr>
                <w:rFonts w:cs="Times New Roman"/>
                <w:szCs w:val="24"/>
              </w:rPr>
              <w:t xml:space="preserve"> </w:t>
            </w:r>
          </w:p>
        </w:tc>
      </w:tr>
      <w:tr w:rsidR="00964D11" w:rsidRPr="001D1DE8" w:rsidTr="00E91B49">
        <w:tc>
          <w:tcPr>
            <w:tcW w:w="5000" w:type="pct"/>
            <w:shd w:val="clear" w:color="auto" w:fill="DAEEF3" w:themeFill="accent5" w:themeFillTint="33"/>
          </w:tcPr>
          <w:p w:rsidR="00342923" w:rsidRPr="00342923" w:rsidRDefault="001D1DE8" w:rsidP="004A148A">
            <w:pPr>
              <w:pStyle w:val="AHPRANumberedlistlevel1"/>
              <w:rPr>
                <w:rFonts w:eastAsiaTheme="minorEastAsia"/>
                <w:lang w:val="en-AU" w:eastAsia="zh-CN"/>
              </w:rPr>
            </w:pPr>
            <w:r>
              <w:t>Do you agree with the circumstances in which a medicine may be supplied for self-medication?</w:t>
            </w:r>
          </w:p>
        </w:tc>
      </w:tr>
      <w:tr w:rsidR="00964D11" w:rsidRPr="001D1DE8" w:rsidTr="00E91B49">
        <w:tc>
          <w:tcPr>
            <w:tcW w:w="5000" w:type="pct"/>
          </w:tcPr>
          <w:p w:rsidR="00964D11" w:rsidRPr="000E6AE1" w:rsidRDefault="000E6AE1" w:rsidP="00964D11">
            <w:pPr>
              <w:pStyle w:val="AHPRAtabletext"/>
              <w:rPr>
                <w:rFonts w:eastAsiaTheme="minorEastAsia"/>
                <w:lang w:val="en-AU" w:eastAsia="zh-CN"/>
              </w:rPr>
            </w:pPr>
            <w:r>
              <w:rPr>
                <w:lang w:val="en-AU"/>
              </w:rPr>
              <w:t xml:space="preserve">Yes </w:t>
            </w:r>
          </w:p>
          <w:p w:rsidR="00964D11" w:rsidRPr="001D1DE8" w:rsidRDefault="00964D11" w:rsidP="00964D11">
            <w:pPr>
              <w:pStyle w:val="AHPRAtabletext"/>
              <w:rPr>
                <w:lang w:val="en-AU"/>
              </w:rPr>
            </w:pPr>
          </w:p>
        </w:tc>
      </w:tr>
      <w:tr w:rsidR="001D1DE8" w:rsidRPr="001D1DE8" w:rsidTr="00E91B49">
        <w:tc>
          <w:tcPr>
            <w:tcW w:w="5000" w:type="pct"/>
            <w:shd w:val="clear" w:color="auto" w:fill="DAEEF3" w:themeFill="accent5" w:themeFillTint="33"/>
          </w:tcPr>
          <w:p w:rsidR="009C724E" w:rsidRPr="009C724E" w:rsidRDefault="00E91B49" w:rsidP="004A148A">
            <w:pPr>
              <w:pStyle w:val="AHPRANumberedlistlevel1"/>
              <w:rPr>
                <w:rFonts w:eastAsiaTheme="minorEastAsia"/>
                <w:lang w:val="en-AU" w:eastAsia="zh-CN"/>
              </w:rPr>
            </w:pPr>
            <w:r>
              <w:t>Do you agree with the limited role of dispensary assistants as outlined in section 5 of the guidelines?</w:t>
            </w:r>
          </w:p>
        </w:tc>
      </w:tr>
      <w:tr w:rsidR="001D1DE8" w:rsidRPr="001D1DE8" w:rsidTr="00E91B49">
        <w:tc>
          <w:tcPr>
            <w:tcW w:w="5000" w:type="pct"/>
          </w:tcPr>
          <w:p w:rsidR="001D1DE8" w:rsidRPr="000E6AE1" w:rsidRDefault="000E6AE1" w:rsidP="008E43CA">
            <w:pPr>
              <w:pStyle w:val="AHPRAtabletext"/>
              <w:rPr>
                <w:rFonts w:eastAsiaTheme="minorEastAsia"/>
                <w:lang w:val="en-AU" w:eastAsia="zh-CN"/>
              </w:rPr>
            </w:pPr>
            <w:r>
              <w:rPr>
                <w:lang w:val="en-AU"/>
              </w:rPr>
              <w:t>Yes</w:t>
            </w:r>
            <w:r>
              <w:rPr>
                <w:rFonts w:eastAsiaTheme="minorEastAsia" w:hint="eastAsia"/>
                <w:lang w:val="en-AU" w:eastAsia="zh-CN"/>
              </w:rPr>
              <w:t xml:space="preserve"> </w:t>
            </w:r>
          </w:p>
          <w:p w:rsidR="001D1DE8" w:rsidRPr="001D1DE8" w:rsidRDefault="001D1DE8" w:rsidP="008E43CA">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4A148A">
            <w:pPr>
              <w:pStyle w:val="AHPRANumberedlistlevel1"/>
              <w:rPr>
                <w:lang w:val="en-AU"/>
              </w:rPr>
            </w:pPr>
            <w:r>
              <w:t>Are there any additional requirements which should apply to the management of a Chinese herbal dispensary?</w:t>
            </w:r>
            <w:r w:rsidR="009C724E">
              <w:rPr>
                <w:rFonts w:eastAsiaTheme="minorEastAsia" w:hint="eastAsia"/>
                <w:lang w:eastAsia="zh-CN"/>
              </w:rPr>
              <w:t xml:space="preserve"> </w:t>
            </w:r>
          </w:p>
        </w:tc>
      </w:tr>
      <w:tr w:rsidR="001D1DE8" w:rsidRPr="001D1DE8" w:rsidTr="00E91B49">
        <w:tc>
          <w:tcPr>
            <w:tcW w:w="5000" w:type="pct"/>
          </w:tcPr>
          <w:p w:rsidR="001D1DE8" w:rsidRPr="001D1DE8" w:rsidRDefault="00CE3018" w:rsidP="00066A47">
            <w:pPr>
              <w:pStyle w:val="AHPRAtabletext"/>
              <w:rPr>
                <w:lang w:val="en-AU"/>
              </w:rPr>
            </w:pPr>
            <w:r>
              <w:rPr>
                <w:lang w:val="en-AU"/>
              </w:rPr>
              <w:t>Yes</w:t>
            </w:r>
          </w:p>
        </w:tc>
      </w:tr>
      <w:tr w:rsidR="001D1DE8" w:rsidRPr="001D1DE8" w:rsidTr="00E91B49">
        <w:tc>
          <w:tcPr>
            <w:tcW w:w="5000" w:type="pct"/>
            <w:shd w:val="clear" w:color="auto" w:fill="DAEEF3" w:themeFill="accent5" w:themeFillTint="33"/>
          </w:tcPr>
          <w:p w:rsidR="001D1DE8" w:rsidRPr="001D1DE8" w:rsidRDefault="00E91B49" w:rsidP="004A148A">
            <w:pPr>
              <w:pStyle w:val="AHPRANumberedlistlevel1"/>
              <w:rPr>
                <w:lang w:val="en-AU"/>
              </w:rPr>
            </w:pPr>
            <w:r>
              <w:t>Does the sample label and prescription assist in understanding the requirements set out in the guidelines? Should any other examples be used?</w:t>
            </w:r>
            <w:r w:rsidR="00EE57CC">
              <w:rPr>
                <w:rFonts w:eastAsiaTheme="minorEastAsia" w:hint="eastAsia"/>
                <w:lang w:eastAsia="zh-CN"/>
              </w:rPr>
              <w:t xml:space="preserve"> </w:t>
            </w:r>
          </w:p>
        </w:tc>
      </w:tr>
      <w:tr w:rsidR="001D1DE8" w:rsidRPr="001D1DE8" w:rsidTr="00A507CF">
        <w:trPr>
          <w:trHeight w:val="763"/>
        </w:trPr>
        <w:tc>
          <w:tcPr>
            <w:tcW w:w="5000" w:type="pct"/>
          </w:tcPr>
          <w:p w:rsidR="001D1DE8" w:rsidRPr="001D1DE8" w:rsidRDefault="0019306D" w:rsidP="0025301D">
            <w:pPr>
              <w:pStyle w:val="AHPRAtabletext"/>
              <w:rPr>
                <w:lang w:val="en-AU"/>
              </w:rPr>
            </w:pPr>
            <w:r>
              <w:rPr>
                <w:lang w:val="en-AU"/>
              </w:rPr>
              <w:lastRenderedPageBreak/>
              <w:t xml:space="preserve">The sample is a good way to help in understanding the requirements. </w:t>
            </w:r>
            <w:r w:rsidR="00374289">
              <w:rPr>
                <w:color w:val="FF0000"/>
                <w:lang w:val="en-AU"/>
              </w:rPr>
              <w:t>(</w:t>
            </w:r>
            <w:r>
              <w:rPr>
                <w:lang w:val="en-AU"/>
              </w:rPr>
              <w:t>Yes,</w:t>
            </w:r>
            <w:r w:rsidR="0025301D">
              <w:rPr>
                <w:color w:val="FF0000"/>
                <w:lang w:val="en-AU"/>
              </w:rPr>
              <w:t>)</w:t>
            </w:r>
            <w:r>
              <w:rPr>
                <w:lang w:val="en-AU"/>
              </w:rPr>
              <w:t xml:space="preserve"> </w:t>
            </w:r>
            <w:r w:rsidR="0025301D">
              <w:rPr>
                <w:lang w:val="en-AU"/>
              </w:rPr>
              <w:t>T</w:t>
            </w:r>
            <w:r>
              <w:rPr>
                <w:lang w:val="en-AU"/>
              </w:rPr>
              <w:t>h</w:t>
            </w:r>
            <w:r w:rsidR="00374289">
              <w:rPr>
                <w:lang w:val="en-AU"/>
              </w:rPr>
              <w:t>e Board should give as</w:t>
            </w:r>
            <w:r>
              <w:rPr>
                <w:lang w:val="en-AU"/>
              </w:rPr>
              <w:t xml:space="preserve"> many samples as possible for all other guideline to avoid any misunderstanding and misinterpreting of the worded guidelines.</w:t>
            </w:r>
            <w:r w:rsidR="0022009A">
              <w:rPr>
                <w:lang w:val="en-AU"/>
              </w:rPr>
              <w:t xml:space="preserve"> A good example is CPD guideline with a very clear CPD portfolio sample.</w:t>
            </w:r>
            <w:r>
              <w:rPr>
                <w:lang w:val="en-AU"/>
              </w:rPr>
              <w:t xml:space="preserve"> </w:t>
            </w:r>
          </w:p>
        </w:tc>
      </w:tr>
      <w:tr w:rsidR="001D1DE8" w:rsidRPr="001D1DE8" w:rsidTr="00E91B49">
        <w:tc>
          <w:tcPr>
            <w:tcW w:w="5000" w:type="pct"/>
            <w:shd w:val="clear" w:color="auto" w:fill="DAEEF3" w:themeFill="accent5" w:themeFillTint="33"/>
          </w:tcPr>
          <w:p w:rsidR="001D1DE8" w:rsidRPr="001D1DE8" w:rsidRDefault="00E91B49" w:rsidP="004A148A">
            <w:pPr>
              <w:pStyle w:val="AHPRANumberedlistlevel1"/>
              <w:rPr>
                <w:lang w:val="en-AU"/>
              </w:rPr>
            </w:pPr>
            <w:r>
              <w:t>Taken as a whole, are the guidelines practical to implement and sufficient for safe practice?</w:t>
            </w:r>
          </w:p>
        </w:tc>
      </w:tr>
      <w:tr w:rsidR="001D1DE8" w:rsidRPr="001D1DE8" w:rsidTr="00CC7DB6">
        <w:trPr>
          <w:trHeight w:val="416"/>
        </w:trPr>
        <w:tc>
          <w:tcPr>
            <w:tcW w:w="5000" w:type="pct"/>
          </w:tcPr>
          <w:p w:rsidR="00066A47" w:rsidRDefault="00CC7DB6" w:rsidP="00066A47">
            <w:pPr>
              <w:pStyle w:val="AHPRAtabletext"/>
              <w:rPr>
                <w:lang w:val="en-AU"/>
              </w:rPr>
            </w:pPr>
            <w:r w:rsidRPr="00CC7DB6">
              <w:rPr>
                <w:lang w:val="en-AU"/>
              </w:rPr>
              <w:t>No</w:t>
            </w:r>
          </w:p>
          <w:p w:rsidR="00925BC2" w:rsidRPr="001D1DE8" w:rsidRDefault="00925BC2" w:rsidP="00D67379">
            <w:pPr>
              <w:pStyle w:val="AHPRAtabletext"/>
              <w:rPr>
                <w:lang w:val="en-AU"/>
              </w:rPr>
            </w:pPr>
            <w:r>
              <w:rPr>
                <w:lang w:val="en-AU"/>
              </w:rPr>
              <w:t xml:space="preserve"> </w:t>
            </w:r>
          </w:p>
        </w:tc>
      </w:tr>
      <w:tr w:rsidR="001D1DE8" w:rsidRPr="001D1DE8" w:rsidTr="00E91B49">
        <w:tc>
          <w:tcPr>
            <w:tcW w:w="5000" w:type="pct"/>
            <w:shd w:val="clear" w:color="auto" w:fill="DAEEF3" w:themeFill="accent5" w:themeFillTint="33"/>
          </w:tcPr>
          <w:p w:rsidR="001D1DE8" w:rsidRPr="001D1DE8" w:rsidRDefault="00E91B49" w:rsidP="004A148A">
            <w:pPr>
              <w:pStyle w:val="AHPRANumberedlistlevel1"/>
              <w:rPr>
                <w:lang w:val="en-AU"/>
              </w:rPr>
            </w:pPr>
            <w:r>
              <w:t>Is the content flow and structure of the guideline helpful, clear, relevant and workable?</w:t>
            </w:r>
            <w:r w:rsidR="00EE57CC">
              <w:rPr>
                <w:rFonts w:eastAsiaTheme="minorEastAsia" w:hint="eastAsia"/>
                <w:lang w:eastAsia="zh-CN"/>
              </w:rPr>
              <w:t xml:space="preserve"> </w:t>
            </w:r>
          </w:p>
        </w:tc>
      </w:tr>
      <w:tr w:rsidR="001D1DE8" w:rsidRPr="001D1DE8" w:rsidTr="00E91B49">
        <w:tc>
          <w:tcPr>
            <w:tcW w:w="5000" w:type="pct"/>
          </w:tcPr>
          <w:p w:rsidR="0079340F" w:rsidRDefault="00CC7DB6" w:rsidP="008E43CA">
            <w:pPr>
              <w:pStyle w:val="AHPRAtabletext"/>
              <w:rPr>
                <w:lang w:val="en-AU"/>
              </w:rPr>
            </w:pPr>
            <w:r w:rsidRPr="00CC7DB6">
              <w:rPr>
                <w:lang w:val="en-AU"/>
              </w:rPr>
              <w:t>No, t</w:t>
            </w:r>
            <w:r w:rsidR="004A10BE" w:rsidRPr="00CC7DB6">
              <w:rPr>
                <w:lang w:val="en-AU"/>
              </w:rPr>
              <w:t>h</w:t>
            </w:r>
            <w:r w:rsidR="004A10BE">
              <w:rPr>
                <w:lang w:val="en-AU"/>
              </w:rPr>
              <w:t xml:space="preserve">e content of the draft guideline is not helpful </w:t>
            </w:r>
            <w:r w:rsidR="0079340F">
              <w:rPr>
                <w:lang w:val="en-AU"/>
              </w:rPr>
              <w:t>and unclear due to following</w:t>
            </w:r>
            <w:r w:rsidR="00374289">
              <w:rPr>
                <w:lang w:val="en-AU"/>
              </w:rPr>
              <w:t>:</w:t>
            </w:r>
          </w:p>
          <w:p w:rsidR="0079340F" w:rsidRDefault="0079340F" w:rsidP="008E43CA">
            <w:pPr>
              <w:pStyle w:val="AHPRAtabletext"/>
              <w:rPr>
                <w:lang w:val="en-AU"/>
              </w:rPr>
            </w:pPr>
            <w:r>
              <w:rPr>
                <w:lang w:val="en-AU"/>
              </w:rPr>
              <w:t xml:space="preserve">1/ </w:t>
            </w:r>
            <w:r w:rsidR="00416069">
              <w:rPr>
                <w:lang w:val="en-AU"/>
              </w:rPr>
              <w:t>T</w:t>
            </w:r>
            <w:r w:rsidR="004A10BE">
              <w:rPr>
                <w:lang w:val="en-AU"/>
              </w:rPr>
              <w:t xml:space="preserve">he example used in </w:t>
            </w:r>
            <w:r>
              <w:rPr>
                <w:lang w:val="en-AU"/>
              </w:rPr>
              <w:t>in appendix 5 is inappropriate (please refer to question 3)</w:t>
            </w:r>
          </w:p>
          <w:p w:rsidR="001D1DE8" w:rsidRDefault="0079340F" w:rsidP="008E43CA">
            <w:pPr>
              <w:pStyle w:val="AHPRAtabletext"/>
              <w:rPr>
                <w:lang w:val="en-AU"/>
              </w:rPr>
            </w:pPr>
            <w:r>
              <w:rPr>
                <w:lang w:val="en-AU"/>
              </w:rPr>
              <w:t>2/  In question 3 “</w:t>
            </w:r>
            <w:r w:rsidRPr="001D1DE8">
              <w:rPr>
                <w:lang w:val="en-AU"/>
              </w:rPr>
              <w:t>Zhao et al (2006) identified that up to 27 per cent of Chinese herbs are sourced from multiple species, making it impossible to accurately identify the species used if the herb is identified only by pinyin, Chinese characters or pharmaceutical name.</w:t>
            </w:r>
            <w:r>
              <w:rPr>
                <w:lang w:val="en-AU"/>
              </w:rPr>
              <w:t>” The reference should be attached for</w:t>
            </w:r>
            <w:r w:rsidR="00173A19">
              <w:rPr>
                <w:lang w:val="en-AU"/>
              </w:rPr>
              <w:t xml:space="preserve"> submission ref</w:t>
            </w:r>
            <w:r>
              <w:rPr>
                <w:lang w:val="en-AU"/>
              </w:rPr>
              <w:t>erence</w:t>
            </w:r>
            <w:r w:rsidR="00416069">
              <w:rPr>
                <w:lang w:val="en-AU"/>
              </w:rPr>
              <w:t>, as it is very hard to get the full version of the article online.</w:t>
            </w:r>
            <w:r w:rsidR="00007C1D">
              <w:rPr>
                <w:lang w:val="en-AU"/>
              </w:rPr>
              <w:t xml:space="preserve"> </w:t>
            </w:r>
          </w:p>
          <w:p w:rsidR="0079340F" w:rsidRPr="001D1DE8" w:rsidRDefault="0079340F" w:rsidP="008E43CA">
            <w:pPr>
              <w:pStyle w:val="AHPRAtabletext"/>
              <w:rPr>
                <w:lang w:val="en-AU"/>
              </w:rPr>
            </w:pPr>
            <w:r>
              <w:rPr>
                <w:lang w:val="en-AU"/>
              </w:rPr>
              <w:t>3/</w:t>
            </w:r>
            <w:r w:rsidR="00D67379">
              <w:rPr>
                <w:lang w:val="en-AU"/>
              </w:rPr>
              <w:t xml:space="preserve"> I</w:t>
            </w:r>
            <w:r>
              <w:rPr>
                <w:lang w:val="en-AU"/>
              </w:rPr>
              <w:t>n option 3, the draft stated “</w:t>
            </w:r>
            <w:r>
              <w:t>The experience of the CMBRV was that approximately 15 per cent of complaints involved herbal practice issues.” The original of the data should be attached and made easier for prac</w:t>
            </w:r>
            <w:r w:rsidR="00173A19">
              <w:t>titioners and public to assess</w:t>
            </w:r>
            <w:r w:rsidR="00416069">
              <w:t xml:space="preserve"> for general justification</w:t>
            </w:r>
            <w:r w:rsidR="00173A19">
              <w:t>.</w:t>
            </w:r>
          </w:p>
          <w:p w:rsidR="001D1DE8" w:rsidRPr="001D1DE8" w:rsidRDefault="001D1DE8" w:rsidP="008E43CA">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4A148A">
            <w:pPr>
              <w:pStyle w:val="AHPRANumberedlistlevel1"/>
              <w:rPr>
                <w:lang w:val="en-AU"/>
              </w:rPr>
            </w:pPr>
            <w:r>
              <w:t>Is there any content that needs to be changed or deleted?</w:t>
            </w:r>
            <w:r w:rsidR="00EE57CC">
              <w:rPr>
                <w:rFonts w:eastAsiaTheme="minorEastAsia" w:hint="eastAsia"/>
                <w:lang w:eastAsia="zh-CN"/>
              </w:rPr>
              <w:t xml:space="preserve"> </w:t>
            </w:r>
          </w:p>
        </w:tc>
      </w:tr>
      <w:tr w:rsidR="001D1DE8" w:rsidRPr="001D1DE8" w:rsidTr="00E91B49">
        <w:tc>
          <w:tcPr>
            <w:tcW w:w="5000" w:type="pct"/>
          </w:tcPr>
          <w:p w:rsidR="001D1DE8" w:rsidRPr="001D1DE8" w:rsidRDefault="00416069" w:rsidP="008E43CA">
            <w:pPr>
              <w:pStyle w:val="AHPRAtabletext"/>
              <w:rPr>
                <w:lang w:val="en-AU"/>
              </w:rPr>
            </w:pPr>
            <w:r>
              <w:rPr>
                <w:lang w:val="en-AU"/>
              </w:rPr>
              <w:t xml:space="preserve">Yes, </w:t>
            </w:r>
            <w:r w:rsidR="00D67379">
              <w:rPr>
                <w:lang w:val="en-AU"/>
              </w:rPr>
              <w:t xml:space="preserve">as stated per </w:t>
            </w:r>
            <w:r w:rsidR="00382398">
              <w:rPr>
                <w:lang w:val="en-AU"/>
              </w:rPr>
              <w:t>above questions.</w:t>
            </w:r>
          </w:p>
          <w:p w:rsidR="001D1DE8" w:rsidRPr="001D1DE8" w:rsidRDefault="001D1DE8" w:rsidP="008E43CA">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4A148A">
            <w:pPr>
              <w:pStyle w:val="AHPRANumberedlistlevel1"/>
              <w:rPr>
                <w:lang w:val="en-AU"/>
              </w:rPr>
            </w:pPr>
            <w:r>
              <w:t>Is there anything missing that needs to be added?</w:t>
            </w:r>
            <w:r w:rsidR="00EE57CC">
              <w:rPr>
                <w:rFonts w:eastAsiaTheme="minorEastAsia" w:hint="eastAsia"/>
                <w:lang w:eastAsia="zh-CN"/>
              </w:rPr>
              <w:t xml:space="preserve"> </w:t>
            </w:r>
          </w:p>
        </w:tc>
      </w:tr>
      <w:tr w:rsidR="001D1DE8" w:rsidRPr="001D1DE8" w:rsidTr="00E91B49">
        <w:tc>
          <w:tcPr>
            <w:tcW w:w="5000" w:type="pct"/>
          </w:tcPr>
          <w:p w:rsidR="001D1DE8" w:rsidRPr="001D1DE8" w:rsidRDefault="00382398" w:rsidP="008E43CA">
            <w:pPr>
              <w:pStyle w:val="AHPRAtabletext"/>
              <w:rPr>
                <w:lang w:val="en-AU"/>
              </w:rPr>
            </w:pPr>
            <w:r>
              <w:rPr>
                <w:lang w:val="en-AU"/>
              </w:rPr>
              <w:t>Yes, as stated per above questions.</w:t>
            </w:r>
          </w:p>
          <w:p w:rsidR="001D1DE8" w:rsidRPr="001D1DE8" w:rsidRDefault="001D1DE8" w:rsidP="008E43CA">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4A148A">
            <w:pPr>
              <w:pStyle w:val="AHPRANumberedlistlevel1"/>
              <w:rPr>
                <w:lang w:val="en-AU"/>
              </w:rPr>
            </w:pPr>
            <w:r>
              <w:t>Do you agree with the proposed 12-month transition period and if so is this period adequate?</w:t>
            </w:r>
          </w:p>
        </w:tc>
      </w:tr>
      <w:tr w:rsidR="001D1DE8" w:rsidRPr="001D1DE8" w:rsidTr="00E91B49">
        <w:tc>
          <w:tcPr>
            <w:tcW w:w="5000" w:type="pct"/>
          </w:tcPr>
          <w:p w:rsidR="001D1DE8" w:rsidRPr="001D1DE8" w:rsidRDefault="003426A9" w:rsidP="008E43CA">
            <w:pPr>
              <w:pStyle w:val="AHPRAtabletext"/>
              <w:rPr>
                <w:lang w:val="en-AU"/>
              </w:rPr>
            </w:pPr>
            <w:r>
              <w:rPr>
                <w:lang w:val="en-AU"/>
              </w:rPr>
              <w:t>Before asking individual practitioner if the proposed 12-month transition period is adequate, Chinese Medicine Board of Australia should ask all Australian Chinese Medicine universities and Schools with approved course if 12 month transition is adequate for them to abolish the use of Pinyin in all the herbal related courses, as all sound and logical minds would agree that it is of course inadequate.</w:t>
            </w:r>
          </w:p>
          <w:p w:rsidR="001D1DE8" w:rsidRPr="001D1DE8" w:rsidRDefault="001D1DE8" w:rsidP="008E43CA">
            <w:pPr>
              <w:pStyle w:val="AHPRAtabletext"/>
              <w:rPr>
                <w:lang w:val="en-AU"/>
              </w:rPr>
            </w:pPr>
          </w:p>
        </w:tc>
      </w:tr>
      <w:tr w:rsidR="001D1DE8" w:rsidRPr="001D1DE8" w:rsidTr="00E91B49">
        <w:tc>
          <w:tcPr>
            <w:tcW w:w="5000" w:type="pct"/>
            <w:shd w:val="clear" w:color="auto" w:fill="DAEEF3" w:themeFill="accent5" w:themeFillTint="33"/>
          </w:tcPr>
          <w:p w:rsidR="001D1DE8" w:rsidRPr="00E91B49" w:rsidRDefault="00E91B49" w:rsidP="004A148A">
            <w:pPr>
              <w:pStyle w:val="AHPRANumberedlistlevel1"/>
            </w:pPr>
            <w:r>
              <w:t>Should the review period for the guidelines be two, three or five years?</w:t>
            </w:r>
            <w:r w:rsidR="00EE57CC">
              <w:rPr>
                <w:rFonts w:eastAsiaTheme="minorEastAsia" w:hint="eastAsia"/>
                <w:lang w:eastAsia="zh-CN"/>
              </w:rPr>
              <w:t xml:space="preserve"> </w:t>
            </w:r>
          </w:p>
        </w:tc>
      </w:tr>
      <w:tr w:rsidR="001D1DE8" w:rsidRPr="001D1DE8" w:rsidTr="00E91B49">
        <w:tc>
          <w:tcPr>
            <w:tcW w:w="5000" w:type="pct"/>
          </w:tcPr>
          <w:p w:rsidR="001D1DE8" w:rsidRPr="001D1DE8" w:rsidRDefault="003426A9" w:rsidP="008E43CA">
            <w:pPr>
              <w:pStyle w:val="AHPRAtabletext"/>
              <w:rPr>
                <w:lang w:val="en-AU"/>
              </w:rPr>
            </w:pPr>
            <w:r>
              <w:rPr>
                <w:rFonts w:eastAsiaTheme="minorEastAsia" w:hint="eastAsia"/>
                <w:lang w:val="en-AU" w:eastAsia="zh-CN"/>
              </w:rPr>
              <w:t>All</w:t>
            </w:r>
            <w:r>
              <w:rPr>
                <w:rFonts w:eastAsiaTheme="minorEastAsia"/>
                <w:lang w:val="en-AU" w:eastAsia="zh-CN"/>
              </w:rPr>
              <w:t xml:space="preserve"> reviews should be in</w:t>
            </w:r>
            <w:r w:rsidR="00CE1AF9">
              <w:rPr>
                <w:rFonts w:eastAsiaTheme="minorEastAsia"/>
                <w:lang w:val="en-AU" w:eastAsia="zh-CN"/>
              </w:rPr>
              <w:t xml:space="preserve"> consistence with other </w:t>
            </w:r>
            <w:r w:rsidR="000E6AE1">
              <w:rPr>
                <w:rFonts w:eastAsiaTheme="minorEastAsia"/>
                <w:lang w:val="en-AU" w:eastAsia="zh-CN"/>
              </w:rPr>
              <w:t>guideline review</w:t>
            </w:r>
            <w:r w:rsidR="00CE1AF9">
              <w:rPr>
                <w:rFonts w:eastAsiaTheme="minorEastAsia"/>
                <w:lang w:val="en-AU" w:eastAsia="zh-CN"/>
              </w:rPr>
              <w:t xml:space="preserve">, </w:t>
            </w:r>
            <w:proofErr w:type="spellStart"/>
            <w:r w:rsidR="00CE1AF9">
              <w:rPr>
                <w:rFonts w:eastAsiaTheme="minorEastAsia"/>
                <w:lang w:val="en-AU" w:eastAsia="zh-CN"/>
              </w:rPr>
              <w:t>ie</w:t>
            </w:r>
            <w:proofErr w:type="spellEnd"/>
            <w:r w:rsidR="00CE1AF9">
              <w:rPr>
                <w:rFonts w:eastAsiaTheme="minorEastAsia"/>
                <w:lang w:val="en-AU" w:eastAsia="zh-CN"/>
              </w:rPr>
              <w:t xml:space="preserve"> 3 years.</w:t>
            </w:r>
          </w:p>
          <w:p w:rsidR="001D1DE8" w:rsidRPr="001D1DE8" w:rsidRDefault="001D1DE8" w:rsidP="008E43CA">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4A148A">
            <w:pPr>
              <w:pStyle w:val="AHPRANumberedlistlevel1"/>
              <w:rPr>
                <w:lang w:val="en-AU"/>
              </w:rPr>
            </w:pPr>
            <w:r>
              <w:t>Do you have any other comments on the draft guideline?</w:t>
            </w:r>
            <w:r w:rsidR="00EE57CC">
              <w:rPr>
                <w:rFonts w:eastAsiaTheme="minorEastAsia" w:hint="eastAsia"/>
                <w:lang w:eastAsia="zh-CN"/>
              </w:rPr>
              <w:t xml:space="preserve"> </w:t>
            </w:r>
          </w:p>
        </w:tc>
      </w:tr>
      <w:tr w:rsidR="001D1DE8" w:rsidRPr="001D1DE8" w:rsidTr="00E91B49">
        <w:tc>
          <w:tcPr>
            <w:tcW w:w="5000" w:type="pct"/>
          </w:tcPr>
          <w:p w:rsidR="00531EA1" w:rsidRPr="00FB2908" w:rsidRDefault="00CE1AF9" w:rsidP="008E43CA">
            <w:pPr>
              <w:pStyle w:val="AHPRAtabletext"/>
              <w:rPr>
                <w:rFonts w:eastAsiaTheme="minorEastAsia"/>
                <w:lang w:val="en-AU" w:eastAsia="zh-CN"/>
              </w:rPr>
            </w:pPr>
            <w:r>
              <w:rPr>
                <w:lang w:val="en-AU"/>
              </w:rPr>
              <w:t>By askin</w:t>
            </w:r>
            <w:r w:rsidR="00007C1D">
              <w:rPr>
                <w:lang w:val="en-AU"/>
              </w:rPr>
              <w:t xml:space="preserve">g only the small population of </w:t>
            </w:r>
            <w:r>
              <w:rPr>
                <w:lang w:val="en-AU"/>
              </w:rPr>
              <w:t xml:space="preserve">the law abiding registered Chinese medicine practitioners to comply with the sky high new labelling guideline for protecting public safety </w:t>
            </w:r>
            <w:r w:rsidR="00531EA1">
              <w:rPr>
                <w:lang w:val="en-AU"/>
              </w:rPr>
              <w:t xml:space="preserve">without putting any </w:t>
            </w:r>
            <w:r>
              <w:rPr>
                <w:lang w:val="en-AU"/>
              </w:rPr>
              <w:t xml:space="preserve">Chinese herbal medicine regulation </w:t>
            </w:r>
            <w:r w:rsidR="00531EA1">
              <w:rPr>
                <w:lang w:val="en-AU"/>
              </w:rPr>
              <w:t xml:space="preserve">in place, </w:t>
            </w:r>
            <w:r>
              <w:rPr>
                <w:lang w:val="en-AU"/>
              </w:rPr>
              <w:t xml:space="preserve">clearly stating only Chinese Medicine practitioners with proper educational and </w:t>
            </w:r>
            <w:r w:rsidR="00531EA1">
              <w:rPr>
                <w:rFonts w:eastAsiaTheme="minorEastAsia" w:hint="eastAsia"/>
                <w:lang w:val="en-AU" w:eastAsia="zh-CN"/>
              </w:rPr>
              <w:t>training</w:t>
            </w:r>
            <w:r>
              <w:rPr>
                <w:lang w:val="en-AU"/>
              </w:rPr>
              <w:t xml:space="preserve"> background are legitimate prescribers</w:t>
            </w:r>
            <w:r w:rsidR="00531EA1">
              <w:rPr>
                <w:rFonts w:eastAsiaTheme="minorEastAsia" w:hint="eastAsia"/>
                <w:lang w:val="en-AU" w:eastAsia="zh-CN"/>
              </w:rPr>
              <w:t>/</w:t>
            </w:r>
            <w:r w:rsidR="00531EA1">
              <w:rPr>
                <w:rFonts w:eastAsiaTheme="minorEastAsia"/>
                <w:lang w:val="en-AU" w:eastAsia="zh-CN"/>
              </w:rPr>
              <w:t>dispensers</w:t>
            </w:r>
            <w:r w:rsidR="00007C1D">
              <w:rPr>
                <w:lang w:val="en-AU"/>
              </w:rPr>
              <w:t xml:space="preserve"> of </w:t>
            </w:r>
            <w:r>
              <w:rPr>
                <w:lang w:val="en-AU"/>
              </w:rPr>
              <w:t>Chinese herbal medicine</w:t>
            </w:r>
            <w:r w:rsidR="00531EA1">
              <w:rPr>
                <w:lang w:val="en-AU"/>
              </w:rPr>
              <w:t xml:space="preserve">, is unjust and an act of putting </w:t>
            </w:r>
            <w:r w:rsidR="00FB2908">
              <w:rPr>
                <w:lang w:val="en-AU"/>
              </w:rPr>
              <w:t xml:space="preserve">the cart in front of the horse </w:t>
            </w:r>
            <w:r w:rsidR="00FB2908">
              <w:rPr>
                <w:rFonts w:eastAsiaTheme="minorEastAsia" w:hint="eastAsia"/>
                <w:lang w:val="en-AU" w:eastAsia="zh-CN"/>
              </w:rPr>
              <w:t>.</w:t>
            </w:r>
          </w:p>
          <w:p w:rsidR="00531EA1" w:rsidRDefault="00531EA1" w:rsidP="008E43CA">
            <w:pPr>
              <w:pStyle w:val="AHPRAtabletext"/>
              <w:rPr>
                <w:lang w:val="en-AU"/>
              </w:rPr>
            </w:pPr>
          </w:p>
          <w:p w:rsidR="001D1DE8" w:rsidRDefault="00531EA1" w:rsidP="008E43CA">
            <w:pPr>
              <w:pStyle w:val="AHPRAtabletext"/>
              <w:rPr>
                <w:lang w:val="en-AU"/>
              </w:rPr>
            </w:pPr>
            <w:r>
              <w:rPr>
                <w:lang w:val="en-AU"/>
              </w:rPr>
              <w:t xml:space="preserve">Public safety is always at very big risk before a regulation is in place restricting the usage of Chinese herbal medicine by other </w:t>
            </w:r>
            <w:r w:rsidR="00CE1AF9">
              <w:rPr>
                <w:lang w:val="en-AU"/>
              </w:rPr>
              <w:t>unregulated professionals</w:t>
            </w:r>
            <w:r>
              <w:rPr>
                <w:lang w:val="en-AU"/>
              </w:rPr>
              <w:t xml:space="preserve"> such as</w:t>
            </w:r>
            <w:r w:rsidR="00CE1AF9">
              <w:rPr>
                <w:lang w:val="en-AU"/>
              </w:rPr>
              <w:t xml:space="preserve"> </w:t>
            </w:r>
            <w:r>
              <w:rPr>
                <w:lang w:val="en-AU"/>
              </w:rPr>
              <w:t>naturopath</w:t>
            </w:r>
            <w:r w:rsidR="00CE1AF9">
              <w:rPr>
                <w:lang w:val="en-AU"/>
              </w:rPr>
              <w:t xml:space="preserve"> and </w:t>
            </w:r>
            <w:proofErr w:type="spellStart"/>
            <w:r w:rsidR="00CE1AF9" w:rsidRPr="00CE1AF9">
              <w:rPr>
                <w:lang w:val="en-AU"/>
              </w:rPr>
              <w:t>rhizotomist</w:t>
            </w:r>
            <w:proofErr w:type="spellEnd"/>
            <w:r w:rsidR="00CE1AF9">
              <w:rPr>
                <w:lang w:val="en-AU"/>
              </w:rPr>
              <w:t>,</w:t>
            </w:r>
            <w:r w:rsidR="00007C1D">
              <w:rPr>
                <w:lang w:val="en-AU"/>
              </w:rPr>
              <w:t xml:space="preserve"> and even western doctors</w:t>
            </w:r>
            <w:r>
              <w:rPr>
                <w:lang w:val="en-AU"/>
              </w:rPr>
              <w:t>, dentist and pharmacists</w:t>
            </w:r>
            <w:r w:rsidR="0023488B">
              <w:rPr>
                <w:lang w:val="en-AU"/>
              </w:rPr>
              <w:t>, massage therapists</w:t>
            </w:r>
            <w:r>
              <w:rPr>
                <w:lang w:val="en-AU"/>
              </w:rPr>
              <w:t xml:space="preserve"> </w:t>
            </w:r>
            <w:r w:rsidR="0023488B">
              <w:rPr>
                <w:lang w:val="en-AU"/>
              </w:rPr>
              <w:t>with limited or without any</w:t>
            </w:r>
            <w:r>
              <w:rPr>
                <w:lang w:val="en-AU"/>
              </w:rPr>
              <w:t xml:space="preserve"> proper Chinese herbal medicine education and training background.</w:t>
            </w:r>
          </w:p>
          <w:p w:rsidR="00416069" w:rsidRDefault="00416069" w:rsidP="008E43CA">
            <w:pPr>
              <w:pStyle w:val="AHPRAtabletext"/>
              <w:rPr>
                <w:lang w:val="en-AU"/>
              </w:rPr>
            </w:pPr>
          </w:p>
          <w:p w:rsidR="00416069" w:rsidRPr="001D1DE8" w:rsidRDefault="00416069" w:rsidP="008E43CA">
            <w:pPr>
              <w:pStyle w:val="AHPRAtabletext"/>
              <w:rPr>
                <w:lang w:val="en-AU"/>
              </w:rPr>
            </w:pPr>
            <w:r>
              <w:rPr>
                <w:lang w:val="en-AU"/>
              </w:rPr>
              <w:t>In attachment B, second Board assessment in the matter of</w:t>
            </w:r>
            <w:r w:rsidR="00007C1D">
              <w:rPr>
                <w:lang w:val="en-AU"/>
              </w:rPr>
              <w:t xml:space="preserve"> </w:t>
            </w:r>
            <w:r w:rsidR="00D61D8D">
              <w:rPr>
                <w:lang w:val="en-AU"/>
              </w:rPr>
              <w:t>“</w:t>
            </w:r>
            <w:r>
              <w:rPr>
                <w:lang w:val="en-AU"/>
              </w:rPr>
              <w:t>the proposal would result in unnecessary restriction of competition among health practitioners</w:t>
            </w:r>
            <w:r w:rsidR="0023488B">
              <w:rPr>
                <w:lang w:val="en-AU"/>
              </w:rPr>
              <w:t>”</w:t>
            </w:r>
            <w:r>
              <w:rPr>
                <w:lang w:val="en-AU"/>
              </w:rPr>
              <w:t xml:space="preserve">; from my opinion is definitely YES, that the implementation of the original draft guideline would resulted in unnecessary </w:t>
            </w:r>
            <w:r w:rsidR="0023488B">
              <w:rPr>
                <w:lang w:val="en-AU"/>
              </w:rPr>
              <w:t>restrictions</w:t>
            </w:r>
            <w:r w:rsidR="00D61D8D">
              <w:rPr>
                <w:lang w:val="en-AU"/>
              </w:rPr>
              <w:t xml:space="preserve"> of competition</w:t>
            </w:r>
            <w:r w:rsidR="0023488B">
              <w:rPr>
                <w:lang w:val="en-AU"/>
              </w:rPr>
              <w:t>, not among the Chinese medicine profession</w:t>
            </w:r>
            <w:r w:rsidR="00CC7DB6">
              <w:rPr>
                <w:lang w:val="en-AU"/>
              </w:rPr>
              <w:t>,</w:t>
            </w:r>
            <w:r w:rsidR="0023488B">
              <w:rPr>
                <w:lang w:val="en-AU"/>
              </w:rPr>
              <w:t xml:space="preserve"> but with other professions with unregulated use of Chinese herbal medicine. Law abiding regulated Chinese medicine practitioners will be discriminated in the keen competition with other unregulated professions.</w:t>
            </w:r>
          </w:p>
          <w:p w:rsidR="001D1DE8" w:rsidRPr="001D1DE8" w:rsidRDefault="001D1DE8" w:rsidP="008E43CA">
            <w:pPr>
              <w:pStyle w:val="AHPRAtabletext"/>
              <w:rPr>
                <w:lang w:val="en-AU"/>
              </w:rPr>
            </w:pPr>
          </w:p>
        </w:tc>
      </w:tr>
    </w:tbl>
    <w:p w:rsidR="00964D11" w:rsidRPr="001D1DE8" w:rsidRDefault="00964D11" w:rsidP="00964D11">
      <w:pPr>
        <w:pStyle w:val="AHPRAbody"/>
        <w:rPr>
          <w:lang w:val="en-AU"/>
        </w:rPr>
      </w:pPr>
    </w:p>
    <w:p w:rsidR="00964D11" w:rsidRPr="001D1DE8" w:rsidRDefault="00964D11" w:rsidP="000E5DE0">
      <w:pPr>
        <w:pStyle w:val="AHPRAbodybold"/>
        <w:rPr>
          <w:lang w:val="en-AU"/>
        </w:rPr>
      </w:pPr>
      <w:r w:rsidRPr="001D1DE8">
        <w:rPr>
          <w:lang w:val="en-AU"/>
        </w:rPr>
        <w:t xml:space="preserve">Please provide your feedback </w:t>
      </w:r>
      <w:r w:rsidRPr="001D1DE8">
        <w:rPr>
          <w:szCs w:val="20"/>
          <w:lang w:val="en-AU"/>
        </w:rPr>
        <w:t xml:space="preserve">as a Word document (not PDF) </w:t>
      </w:r>
      <w:r w:rsidRPr="001D1DE8">
        <w:rPr>
          <w:lang w:val="en-AU"/>
        </w:rPr>
        <w:t xml:space="preserve">by email to </w:t>
      </w:r>
      <w:hyperlink r:id="rId9" w:history="1">
        <w:r w:rsidR="00E91B49">
          <w:rPr>
            <w:rStyle w:val="Hyperlink"/>
            <w:lang w:val="en-AU"/>
          </w:rPr>
          <w:t>chinesemedicineconsultation@ahpra.gov.au</w:t>
        </w:r>
      </w:hyperlink>
      <w:r w:rsidRPr="001D1DE8">
        <w:rPr>
          <w:lang w:val="en-AU"/>
        </w:rPr>
        <w:t xml:space="preserve"> by close of business on </w:t>
      </w:r>
      <w:r w:rsidR="00E91B49">
        <w:rPr>
          <w:lang w:val="en-AU"/>
        </w:rPr>
        <w:t>Wednesday</w:t>
      </w:r>
      <w:r w:rsidRPr="001D1DE8">
        <w:rPr>
          <w:lang w:val="en-AU"/>
        </w:rPr>
        <w:t xml:space="preserve"> </w:t>
      </w:r>
      <w:r w:rsidR="00E91B49">
        <w:rPr>
          <w:lang w:val="en-AU"/>
        </w:rPr>
        <w:t>23 July</w:t>
      </w:r>
      <w:r w:rsidRPr="001D1DE8">
        <w:rPr>
          <w:lang w:val="en-AU"/>
        </w:rPr>
        <w:t xml:space="preserve"> 2014.</w:t>
      </w:r>
    </w:p>
    <w:sectPr w:rsidR="00964D11" w:rsidRPr="001D1DE8" w:rsidSect="00461C91">
      <w:headerReference w:type="default" r:id="rId10"/>
      <w:footerReference w:type="even" r:id="rId11"/>
      <w:footerReference w:type="default" r:id="rId12"/>
      <w:headerReference w:type="first" r:id="rId13"/>
      <w:footerReference w:type="first" r:id="rId14"/>
      <w:pgSz w:w="11900" w:h="16840"/>
      <w:pgMar w:top="1819" w:right="1268" w:bottom="1134" w:left="1134" w:header="1134" w:footer="6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E9E" w:rsidRDefault="00000E9E" w:rsidP="00FC2881">
      <w:r>
        <w:separator/>
      </w:r>
    </w:p>
    <w:p w:rsidR="00000E9E" w:rsidRDefault="00000E9E"/>
  </w:endnote>
  <w:endnote w:type="continuationSeparator" w:id="0">
    <w:p w:rsidR="00000E9E" w:rsidRDefault="00000E9E" w:rsidP="00FC2881">
      <w:r>
        <w:continuationSeparator/>
      </w:r>
    </w:p>
    <w:p w:rsidR="00000E9E" w:rsidRDefault="00000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Default="003C71EC" w:rsidP="00FC2881">
    <w:pPr>
      <w:pStyle w:val="AHPRAfootnote"/>
      <w:framePr w:wrap="around" w:vAnchor="text" w:hAnchor="margin" w:xAlign="right" w:y="1"/>
    </w:pPr>
    <w:r>
      <w:fldChar w:fldCharType="begin"/>
    </w:r>
    <w:r w:rsidR="00CE1FC4">
      <w:instrText xml:space="preserve">PAGE  </w:instrText>
    </w:r>
    <w:r>
      <w:fldChar w:fldCharType="end"/>
    </w:r>
  </w:p>
  <w:p w:rsidR="00CE1FC4" w:rsidRDefault="00CE1FC4" w:rsidP="00FC2881">
    <w:pPr>
      <w:pStyle w:val="AHPRAfootnote"/>
      <w:ind w:right="360"/>
    </w:pPr>
  </w:p>
  <w:p w:rsidR="00CE1FC4" w:rsidRDefault="00CE1F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0E7E28" w:rsidRDefault="00E91B49" w:rsidP="000E5DE0">
    <w:pPr>
      <w:pStyle w:val="AHPRAfooter"/>
      <w:tabs>
        <w:tab w:val="right" w:pos="9498"/>
      </w:tabs>
    </w:pPr>
    <w:r>
      <w:rPr>
        <w:szCs w:val="16"/>
      </w:rPr>
      <w:t>Chinese Medicine</w:t>
    </w:r>
    <w:r w:rsidR="000E5DE0">
      <w:rPr>
        <w:szCs w:val="16"/>
      </w:rPr>
      <w:t xml:space="preserve"> Board of Australia - Public consultation on draft </w:t>
    </w:r>
    <w:r>
      <w:rPr>
        <w:szCs w:val="16"/>
      </w:rPr>
      <w:t>guidelines for safe Chinese herbal medicine practice</w:t>
    </w:r>
    <w:r>
      <w:rPr>
        <w:szCs w:val="16"/>
      </w:rPr>
      <w:br/>
    </w:r>
    <w:r w:rsidR="000E5DE0">
      <w:rPr>
        <w:szCs w:val="16"/>
      </w:rPr>
      <w:tab/>
    </w:r>
    <w:sdt>
      <w:sdtPr>
        <w:id w:val="18143575"/>
        <w:docPartObj>
          <w:docPartGallery w:val="Page Numbers (Top of Page)"/>
          <w:docPartUnique/>
        </w:docPartObj>
      </w:sdtPr>
      <w:sdtEndPr/>
      <w:sdtContent>
        <w:r w:rsidR="00CE1FC4" w:rsidRPr="000E7E28">
          <w:t xml:space="preserve">Page </w:t>
        </w:r>
        <w:r w:rsidR="003C71EC">
          <w:fldChar w:fldCharType="begin"/>
        </w:r>
        <w:r w:rsidR="00CD115E">
          <w:instrText xml:space="preserve"> PAGE </w:instrText>
        </w:r>
        <w:r w:rsidR="003C71EC">
          <w:fldChar w:fldCharType="separate"/>
        </w:r>
        <w:r w:rsidR="00402C42">
          <w:rPr>
            <w:noProof/>
          </w:rPr>
          <w:t>3</w:t>
        </w:r>
        <w:r w:rsidR="003C71EC">
          <w:rPr>
            <w:noProof/>
          </w:rPr>
          <w:fldChar w:fldCharType="end"/>
        </w:r>
        <w:r w:rsidR="00CE1FC4" w:rsidRPr="000E7E28">
          <w:t xml:space="preserve"> of </w:t>
        </w:r>
        <w:r w:rsidR="00402C42">
          <w:fldChar w:fldCharType="begin"/>
        </w:r>
        <w:r w:rsidR="00402C42">
          <w:instrText xml:space="preserve"> NUMPAGES  </w:instrText>
        </w:r>
        <w:r w:rsidR="00402C42">
          <w:fldChar w:fldCharType="separate"/>
        </w:r>
        <w:r w:rsidR="00402C42">
          <w:rPr>
            <w:noProof/>
          </w:rPr>
          <w:t>3</w:t>
        </w:r>
        <w:r w:rsidR="00402C42">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E77E23" w:rsidRDefault="00E91B49" w:rsidP="00E77E23">
    <w:pPr>
      <w:pStyle w:val="AHPRAfirstpagefooter"/>
    </w:pPr>
    <w:r>
      <w:rPr>
        <w:color w:val="007DC3"/>
      </w:rPr>
      <w:t>Chinese Medicine</w:t>
    </w:r>
    <w:r w:rsidR="00CE1FC4" w:rsidRPr="00E77E23">
      <w:t xml:space="preserve"> </w:t>
    </w:r>
    <w:r w:rsidR="00CE1FC4">
      <w:t>Board of Australia</w:t>
    </w:r>
  </w:p>
  <w:p w:rsidR="00CE1FC4" w:rsidRDefault="00CE1FC4"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00E91B49">
      <w:t>chinesemedicine</w:t>
    </w:r>
    <w:r w:rsidRPr="004A1BB1">
      <w:t>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E9E" w:rsidRDefault="00000E9E" w:rsidP="000E7E28">
      <w:r>
        <w:separator/>
      </w:r>
    </w:p>
  </w:footnote>
  <w:footnote w:type="continuationSeparator" w:id="0">
    <w:p w:rsidR="00000E9E" w:rsidRDefault="00000E9E" w:rsidP="00FC2881">
      <w:r>
        <w:continuationSeparator/>
      </w:r>
    </w:p>
    <w:p w:rsidR="00000E9E" w:rsidRDefault="00000E9E"/>
  </w:footnote>
  <w:footnote w:type="continuationNotice" w:id="1">
    <w:p w:rsidR="00000E9E" w:rsidRDefault="00000E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315933" w:rsidRDefault="00CE1FC4" w:rsidP="001F25BA">
    <w:pPr>
      <w:ind w:right="-567"/>
    </w:pPr>
  </w:p>
  <w:p w:rsidR="00CE1FC4" w:rsidRDefault="00CE1F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Default="00E91B49" w:rsidP="00E844A0">
    <w:r w:rsidRPr="00E91B49">
      <w:rPr>
        <w:noProof/>
      </w:rPr>
      <w:drawing>
        <wp:anchor distT="0" distB="0" distL="114300" distR="114300" simplePos="0" relativeHeight="251659264" behindDoc="0" locked="0" layoutInCell="1" allowOverlap="1">
          <wp:simplePos x="0" y="0"/>
          <wp:positionH relativeFrom="margin">
            <wp:posOffset>4817110</wp:posOffset>
          </wp:positionH>
          <wp:positionV relativeFrom="margin">
            <wp:posOffset>-1520825</wp:posOffset>
          </wp:positionV>
          <wp:extent cx="1454150" cy="1314450"/>
          <wp:effectExtent l="19050" t="0" r="0" b="0"/>
          <wp:wrapSquare wrapText="bothSides"/>
          <wp:docPr id="1" name="Picture 0" descr="Chinese Medicine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1"/>
                  <a:stretch>
                    <a:fillRect/>
                  </a:stretch>
                </pic:blipFill>
                <pic:spPr>
                  <a:xfrm>
                    <a:off x="0" y="0"/>
                    <a:ext cx="1454150" cy="1314450"/>
                  </a:xfrm>
                  <a:prstGeom prst="rect">
                    <a:avLst/>
                  </a:prstGeom>
                </pic:spPr>
              </pic:pic>
            </a:graphicData>
          </a:graphic>
        </wp:anchor>
      </w:drawing>
    </w:r>
  </w:p>
  <w:p w:rsidR="00CE1FC4" w:rsidRDefault="00CE1FC4" w:rsidP="00E844A0"/>
  <w:p w:rsidR="00CE1FC4" w:rsidRDefault="00CE1FC4" w:rsidP="00E844A0"/>
  <w:p w:rsidR="00CE1FC4" w:rsidRDefault="00CE1FC4" w:rsidP="00E844A0"/>
  <w:p w:rsidR="00CE1FC4" w:rsidRDefault="00CE1FC4" w:rsidP="00E844A0"/>
  <w:p w:rsidR="00CE1FC4" w:rsidRDefault="00CE1FC4" w:rsidP="009226B7">
    <w:pPr>
      <w:tabs>
        <w:tab w:val="left" w:pos="3667"/>
      </w:tabs>
    </w:pPr>
    <w:r>
      <w:tab/>
    </w:r>
  </w:p>
  <w:p w:rsidR="00CE1FC4" w:rsidRDefault="00CE1FC4"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17D6"/>
    <w:multiLevelType w:val="multilevel"/>
    <w:tmpl w:val="C4183F12"/>
    <w:numStyleLink w:val="AHPRANumberedlist"/>
  </w:abstractNum>
  <w:abstractNum w:abstractNumId="1">
    <w:nsid w:val="09C56C2A"/>
    <w:multiLevelType w:val="hybridMultilevel"/>
    <w:tmpl w:val="C9AC8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3945897"/>
    <w:multiLevelType w:val="hybridMultilevel"/>
    <w:tmpl w:val="BC78F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2D19FF"/>
    <w:multiLevelType w:val="multilevel"/>
    <w:tmpl w:val="BE20683A"/>
    <w:numStyleLink w:val="AHPRANumberedheadinglist"/>
  </w:abstractNum>
  <w:abstractNum w:abstractNumId="7">
    <w:nsid w:val="1B955EB6"/>
    <w:multiLevelType w:val="hybridMultilevel"/>
    <w:tmpl w:val="C2386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822578D"/>
    <w:multiLevelType w:val="multilevel"/>
    <w:tmpl w:val="BE20683A"/>
    <w:numStyleLink w:val="AHPRANumberedheadinglist"/>
  </w:abstractNum>
  <w:abstractNum w:abstractNumId="9">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4433A"/>
    <w:multiLevelType w:val="multilevel"/>
    <w:tmpl w:val="C4183F12"/>
    <w:numStyleLink w:val="AHPRANumberedlist"/>
  </w:abstractNum>
  <w:abstractNum w:abstractNumId="12">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4">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E154B0"/>
    <w:multiLevelType w:val="multilevel"/>
    <w:tmpl w:val="C4183F12"/>
    <w:numStyleLink w:val="AHPRANumberedlist"/>
  </w:abstractNum>
  <w:abstractNum w:abstractNumId="16">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31660"/>
    <w:multiLevelType w:val="multilevel"/>
    <w:tmpl w:val="C4183F12"/>
    <w:numStyleLink w:val="AHPRANumberedlist"/>
  </w:abstractNum>
  <w:abstractNum w:abstractNumId="18">
    <w:nsid w:val="7DBF5762"/>
    <w:multiLevelType w:val="hybridMultilevel"/>
    <w:tmpl w:val="59A6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0"/>
  </w:num>
  <w:num w:numId="3">
    <w:abstractNumId w:val="2"/>
  </w:num>
  <w:num w:numId="4">
    <w:abstractNumId w:val="4"/>
  </w:num>
  <w:num w:numId="5">
    <w:abstractNumId w:val="6"/>
  </w:num>
  <w:num w:numId="6">
    <w:abstractNumId w:val="8"/>
  </w:num>
  <w:num w:numId="7">
    <w:abstractNumId w:val="0"/>
  </w:num>
  <w:num w:numId="8">
    <w:abstractNumId w:val="9"/>
  </w:num>
  <w:num w:numId="9">
    <w:abstractNumId w:val="16"/>
  </w:num>
  <w:num w:numId="10">
    <w:abstractNumId w:val="11"/>
  </w:num>
  <w:num w:numId="11">
    <w:abstractNumId w:val="3"/>
  </w:num>
  <w:num w:numId="12">
    <w:abstractNumId w:val="15"/>
  </w:num>
  <w:num w:numId="13">
    <w:abstractNumId w:val="17"/>
  </w:num>
  <w:num w:numId="14">
    <w:abstractNumId w:val="13"/>
  </w:num>
  <w:num w:numId="15">
    <w:abstractNumId w:val="12"/>
  </w:num>
  <w:num w:numId="16">
    <w:abstractNumId w:val="18"/>
  </w:num>
  <w:num w:numId="17">
    <w:abstractNumId w:val="1"/>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 w:id="1"/>
  </w:footnotePr>
  <w:endnotePr>
    <w:endnote w:id="-1"/>
    <w:endnote w:id="0"/>
  </w:endnotePr>
  <w:compat>
    <w:useFELayout/>
    <w:compatSetting w:name="compatibilityMode" w:uri="http://schemas.microsoft.com/office/word" w:val="12"/>
  </w:compat>
  <w:rsids>
    <w:rsidRoot w:val="00DF214A"/>
    <w:rsid w:val="00000033"/>
    <w:rsid w:val="00000E9E"/>
    <w:rsid w:val="00006922"/>
    <w:rsid w:val="00007C1D"/>
    <w:rsid w:val="00024411"/>
    <w:rsid w:val="000334D7"/>
    <w:rsid w:val="00046CC8"/>
    <w:rsid w:val="00052A2D"/>
    <w:rsid w:val="00057325"/>
    <w:rsid w:val="00066A47"/>
    <w:rsid w:val="00071439"/>
    <w:rsid w:val="00086B76"/>
    <w:rsid w:val="000945FB"/>
    <w:rsid w:val="000A17B9"/>
    <w:rsid w:val="000A6BF7"/>
    <w:rsid w:val="000A7E84"/>
    <w:rsid w:val="000E5DE0"/>
    <w:rsid w:val="000E6AE1"/>
    <w:rsid w:val="000E7E28"/>
    <w:rsid w:val="000F5D90"/>
    <w:rsid w:val="0010139F"/>
    <w:rsid w:val="0011169E"/>
    <w:rsid w:val="00143CC2"/>
    <w:rsid w:val="00144DEF"/>
    <w:rsid w:val="001506FE"/>
    <w:rsid w:val="00173A19"/>
    <w:rsid w:val="001765D0"/>
    <w:rsid w:val="0019306D"/>
    <w:rsid w:val="001A163F"/>
    <w:rsid w:val="001A27D5"/>
    <w:rsid w:val="001C425C"/>
    <w:rsid w:val="001D1DE8"/>
    <w:rsid w:val="001E1E31"/>
    <w:rsid w:val="001E2849"/>
    <w:rsid w:val="001E4A94"/>
    <w:rsid w:val="001E5621"/>
    <w:rsid w:val="001F0AFD"/>
    <w:rsid w:val="001F25BA"/>
    <w:rsid w:val="001F3A1B"/>
    <w:rsid w:val="00206476"/>
    <w:rsid w:val="0022009A"/>
    <w:rsid w:val="00220A3B"/>
    <w:rsid w:val="00224708"/>
    <w:rsid w:val="0023488B"/>
    <w:rsid w:val="0025301D"/>
    <w:rsid w:val="00273F3E"/>
    <w:rsid w:val="0028013F"/>
    <w:rsid w:val="00291928"/>
    <w:rsid w:val="00295B44"/>
    <w:rsid w:val="002965C8"/>
    <w:rsid w:val="002B2D48"/>
    <w:rsid w:val="002C08FB"/>
    <w:rsid w:val="002C34EA"/>
    <w:rsid w:val="002C4828"/>
    <w:rsid w:val="002C75E0"/>
    <w:rsid w:val="00303BE1"/>
    <w:rsid w:val="00305AFC"/>
    <w:rsid w:val="00317AFD"/>
    <w:rsid w:val="0032024A"/>
    <w:rsid w:val="0032606D"/>
    <w:rsid w:val="003354E4"/>
    <w:rsid w:val="003426A9"/>
    <w:rsid w:val="00342923"/>
    <w:rsid w:val="00353D8A"/>
    <w:rsid w:val="00354AC1"/>
    <w:rsid w:val="003660E4"/>
    <w:rsid w:val="00374289"/>
    <w:rsid w:val="00382398"/>
    <w:rsid w:val="0038620E"/>
    <w:rsid w:val="003A4400"/>
    <w:rsid w:val="003B10EC"/>
    <w:rsid w:val="003C71EC"/>
    <w:rsid w:val="003D6DBD"/>
    <w:rsid w:val="003E00B5"/>
    <w:rsid w:val="003E3268"/>
    <w:rsid w:val="003E5071"/>
    <w:rsid w:val="003F2F06"/>
    <w:rsid w:val="00402C42"/>
    <w:rsid w:val="00405C0A"/>
    <w:rsid w:val="00414F2C"/>
    <w:rsid w:val="00416069"/>
    <w:rsid w:val="004419BB"/>
    <w:rsid w:val="004452A7"/>
    <w:rsid w:val="00450B34"/>
    <w:rsid w:val="004606A7"/>
    <w:rsid w:val="00461C91"/>
    <w:rsid w:val="00485007"/>
    <w:rsid w:val="0049279C"/>
    <w:rsid w:val="004A10BE"/>
    <w:rsid w:val="004A148A"/>
    <w:rsid w:val="004A1BB1"/>
    <w:rsid w:val="004A5E5D"/>
    <w:rsid w:val="004B2179"/>
    <w:rsid w:val="004B747B"/>
    <w:rsid w:val="004D7537"/>
    <w:rsid w:val="004F4C40"/>
    <w:rsid w:val="004F5C05"/>
    <w:rsid w:val="0053063E"/>
    <w:rsid w:val="00530E62"/>
    <w:rsid w:val="00531EA1"/>
    <w:rsid w:val="00536208"/>
    <w:rsid w:val="00536C42"/>
    <w:rsid w:val="0053749F"/>
    <w:rsid w:val="00553A4C"/>
    <w:rsid w:val="00554335"/>
    <w:rsid w:val="005565CE"/>
    <w:rsid w:val="005655AC"/>
    <w:rsid w:val="005708AE"/>
    <w:rsid w:val="00581AC5"/>
    <w:rsid w:val="00584C19"/>
    <w:rsid w:val="005A0FA9"/>
    <w:rsid w:val="005C5932"/>
    <w:rsid w:val="005C6817"/>
    <w:rsid w:val="00613A61"/>
    <w:rsid w:val="00616043"/>
    <w:rsid w:val="00640B2C"/>
    <w:rsid w:val="00655DD7"/>
    <w:rsid w:val="00667CAD"/>
    <w:rsid w:val="006710C5"/>
    <w:rsid w:val="00681D5E"/>
    <w:rsid w:val="006A3386"/>
    <w:rsid w:val="006C0257"/>
    <w:rsid w:val="006C0E29"/>
    <w:rsid w:val="006D30FE"/>
    <w:rsid w:val="006D3757"/>
    <w:rsid w:val="006F7348"/>
    <w:rsid w:val="006F796D"/>
    <w:rsid w:val="0070155F"/>
    <w:rsid w:val="0070795B"/>
    <w:rsid w:val="007372A4"/>
    <w:rsid w:val="00737858"/>
    <w:rsid w:val="00741B04"/>
    <w:rsid w:val="007432A4"/>
    <w:rsid w:val="007516CF"/>
    <w:rsid w:val="0076115C"/>
    <w:rsid w:val="007664F3"/>
    <w:rsid w:val="0079197C"/>
    <w:rsid w:val="0079340F"/>
    <w:rsid w:val="007A35B9"/>
    <w:rsid w:val="007B77D6"/>
    <w:rsid w:val="007C0B6E"/>
    <w:rsid w:val="007C333B"/>
    <w:rsid w:val="007C68E4"/>
    <w:rsid w:val="007D4836"/>
    <w:rsid w:val="007E2C84"/>
    <w:rsid w:val="007E3545"/>
    <w:rsid w:val="007F0095"/>
    <w:rsid w:val="007F72CC"/>
    <w:rsid w:val="008157DA"/>
    <w:rsid w:val="008338F7"/>
    <w:rsid w:val="00836397"/>
    <w:rsid w:val="00845054"/>
    <w:rsid w:val="00852D1C"/>
    <w:rsid w:val="00856147"/>
    <w:rsid w:val="00860F40"/>
    <w:rsid w:val="008615C9"/>
    <w:rsid w:val="00864020"/>
    <w:rsid w:val="00877659"/>
    <w:rsid w:val="008979D5"/>
    <w:rsid w:val="008A4C3B"/>
    <w:rsid w:val="008B2AD7"/>
    <w:rsid w:val="008C53F0"/>
    <w:rsid w:val="008D68B3"/>
    <w:rsid w:val="008D6B7E"/>
    <w:rsid w:val="008D7845"/>
    <w:rsid w:val="008F0094"/>
    <w:rsid w:val="00902235"/>
    <w:rsid w:val="00907E51"/>
    <w:rsid w:val="009226B7"/>
    <w:rsid w:val="00923B23"/>
    <w:rsid w:val="00925BC2"/>
    <w:rsid w:val="0093703C"/>
    <w:rsid w:val="00937B4E"/>
    <w:rsid w:val="00937ED0"/>
    <w:rsid w:val="00952797"/>
    <w:rsid w:val="00964D11"/>
    <w:rsid w:val="0097049B"/>
    <w:rsid w:val="009777D3"/>
    <w:rsid w:val="009859E6"/>
    <w:rsid w:val="00994DF5"/>
    <w:rsid w:val="00996BFC"/>
    <w:rsid w:val="009A0A5D"/>
    <w:rsid w:val="009B06DA"/>
    <w:rsid w:val="009C6933"/>
    <w:rsid w:val="009C724E"/>
    <w:rsid w:val="009D18A3"/>
    <w:rsid w:val="00A04C7A"/>
    <w:rsid w:val="00A058E5"/>
    <w:rsid w:val="00A10C1A"/>
    <w:rsid w:val="00A2072E"/>
    <w:rsid w:val="00A237BB"/>
    <w:rsid w:val="00A417BB"/>
    <w:rsid w:val="00A507CF"/>
    <w:rsid w:val="00A509AB"/>
    <w:rsid w:val="00A70173"/>
    <w:rsid w:val="00A712C4"/>
    <w:rsid w:val="00A82078"/>
    <w:rsid w:val="00A838C8"/>
    <w:rsid w:val="00A91C42"/>
    <w:rsid w:val="00A9516B"/>
    <w:rsid w:val="00A957DE"/>
    <w:rsid w:val="00A9780A"/>
    <w:rsid w:val="00AA00AF"/>
    <w:rsid w:val="00AA1DE1"/>
    <w:rsid w:val="00AA2FC9"/>
    <w:rsid w:val="00AB283D"/>
    <w:rsid w:val="00AD312E"/>
    <w:rsid w:val="00AD4B09"/>
    <w:rsid w:val="00AE057C"/>
    <w:rsid w:val="00AE3EAF"/>
    <w:rsid w:val="00B024B0"/>
    <w:rsid w:val="00B34EDA"/>
    <w:rsid w:val="00B41762"/>
    <w:rsid w:val="00B51748"/>
    <w:rsid w:val="00B57198"/>
    <w:rsid w:val="00B85023"/>
    <w:rsid w:val="00BA2456"/>
    <w:rsid w:val="00BA261B"/>
    <w:rsid w:val="00BA42D7"/>
    <w:rsid w:val="00BA469B"/>
    <w:rsid w:val="00BB1FA5"/>
    <w:rsid w:val="00BB4A5B"/>
    <w:rsid w:val="00BB51F8"/>
    <w:rsid w:val="00BC5E94"/>
    <w:rsid w:val="00BF2534"/>
    <w:rsid w:val="00BF79DC"/>
    <w:rsid w:val="00C121CB"/>
    <w:rsid w:val="00C1700D"/>
    <w:rsid w:val="00C35DE1"/>
    <w:rsid w:val="00C3795C"/>
    <w:rsid w:val="00C44EB4"/>
    <w:rsid w:val="00C524AA"/>
    <w:rsid w:val="00C54689"/>
    <w:rsid w:val="00C81B3A"/>
    <w:rsid w:val="00C94470"/>
    <w:rsid w:val="00CB26F9"/>
    <w:rsid w:val="00CB6C08"/>
    <w:rsid w:val="00CC01AB"/>
    <w:rsid w:val="00CC7DB6"/>
    <w:rsid w:val="00CD0DCA"/>
    <w:rsid w:val="00CD115E"/>
    <w:rsid w:val="00CE1AF9"/>
    <w:rsid w:val="00CE1FC4"/>
    <w:rsid w:val="00CE3018"/>
    <w:rsid w:val="00CF6879"/>
    <w:rsid w:val="00D12F61"/>
    <w:rsid w:val="00D201C6"/>
    <w:rsid w:val="00D61D8D"/>
    <w:rsid w:val="00D62B5C"/>
    <w:rsid w:val="00D638E0"/>
    <w:rsid w:val="00D667D0"/>
    <w:rsid w:val="00D67379"/>
    <w:rsid w:val="00D716BA"/>
    <w:rsid w:val="00D7629D"/>
    <w:rsid w:val="00D8404D"/>
    <w:rsid w:val="00DC2952"/>
    <w:rsid w:val="00DC5D89"/>
    <w:rsid w:val="00DD2050"/>
    <w:rsid w:val="00DF1AB7"/>
    <w:rsid w:val="00DF214A"/>
    <w:rsid w:val="00E07C02"/>
    <w:rsid w:val="00E12B06"/>
    <w:rsid w:val="00E15BF6"/>
    <w:rsid w:val="00E71CB9"/>
    <w:rsid w:val="00E73698"/>
    <w:rsid w:val="00E77E23"/>
    <w:rsid w:val="00E8251C"/>
    <w:rsid w:val="00E844A0"/>
    <w:rsid w:val="00E91B49"/>
    <w:rsid w:val="00E9536B"/>
    <w:rsid w:val="00EE57CC"/>
    <w:rsid w:val="00EF55F8"/>
    <w:rsid w:val="00F05750"/>
    <w:rsid w:val="00F13ED2"/>
    <w:rsid w:val="00F21674"/>
    <w:rsid w:val="00F27ACB"/>
    <w:rsid w:val="00F35410"/>
    <w:rsid w:val="00F3616F"/>
    <w:rsid w:val="00F37A64"/>
    <w:rsid w:val="00F6618F"/>
    <w:rsid w:val="00F70DD5"/>
    <w:rsid w:val="00F73165"/>
    <w:rsid w:val="00F90BCE"/>
    <w:rsid w:val="00F91658"/>
    <w:rsid w:val="00F91DD0"/>
    <w:rsid w:val="00FB2908"/>
    <w:rsid w:val="00FC2881"/>
    <w:rsid w:val="00FD7DC1"/>
    <w:rsid w:val="00FE02A1"/>
    <w:rsid w:val="00FE5A6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rules v:ext="edit">
        <o:r id="V:Rule2" type="connector" idref="#AutoShape 3"/>
      </o:rules>
    </o:shapelayout>
  </w:shapeDefaults>
  <w:decimalSymbol w:val="."/>
  <w:listSeparator w:val=","/>
  <w15:docId w15:val="{1A9C9FCE-35E9-43C7-9560-97BA1BC9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semiHidden="1" w:uiPriority="1" w:unhideWhenUsed="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uiPriority w:val="99"/>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TableText">
    <w:name w:val="TableText"/>
    <w:basedOn w:val="Normal"/>
    <w:rsid w:val="00964D11"/>
    <w:pPr>
      <w:keepNext/>
      <w:spacing w:before="120" w:after="120"/>
      <w:jc w:val="left"/>
    </w:pPr>
    <w:rPr>
      <w:rFonts w:ascii="Helvetica Narrow" w:eastAsia="Calibri" w:hAnsi="Helvetica Narrow" w:cs="Times New Roman"/>
      <w:color w:val="000000"/>
      <w:sz w:val="20"/>
      <w:lang w:eastAsia="en-US"/>
    </w:rPr>
  </w:style>
  <w:style w:type="paragraph" w:customStyle="1" w:styleId="AHPRAHeadline">
    <w:name w:val="AHPRA Headline"/>
    <w:basedOn w:val="Normal"/>
    <w:qFormat/>
    <w:rsid w:val="00964D11"/>
    <w:pPr>
      <w:spacing w:after="200"/>
      <w:jc w:val="left"/>
    </w:pPr>
    <w:rPr>
      <w:rFonts w:cs="Times New Roman"/>
      <w:color w:val="008EC4"/>
      <w:sz w:val="28"/>
      <w:lang w:val="en-US" w:eastAsia="en-US"/>
    </w:rPr>
  </w:style>
  <w:style w:type="paragraph" w:customStyle="1" w:styleId="AHPRASubhead">
    <w:name w:val="AHPRA Subhead"/>
    <w:basedOn w:val="Normal"/>
    <w:qFormat/>
    <w:rsid w:val="00964D11"/>
    <w:pPr>
      <w:spacing w:after="200"/>
      <w:jc w:val="left"/>
    </w:pPr>
    <w:rPr>
      <w:rFonts w:cs="Times New Roman"/>
      <w:b/>
      <w:color w:val="008EC4"/>
      <w:sz w:val="20"/>
      <w:lang w:val="en-US" w:eastAsia="en-US"/>
    </w:rPr>
  </w:style>
  <w:style w:type="paragraph" w:customStyle="1" w:styleId="AHPRAbodytext">
    <w:name w:val="AHPRA body text"/>
    <w:basedOn w:val="Normal"/>
    <w:rsid w:val="00964D11"/>
    <w:pPr>
      <w:spacing w:after="200"/>
      <w:jc w:val="left"/>
    </w:pPr>
    <w:rPr>
      <w:rFonts w:eastAsia="Cambria"/>
      <w:sz w:val="20"/>
      <w:lang w:val="en-US" w:eastAsia="en-US"/>
    </w:rPr>
  </w:style>
  <w:style w:type="paragraph" w:customStyle="1" w:styleId="Default">
    <w:name w:val="Default"/>
    <w:rsid w:val="00CD115E"/>
    <w:pPr>
      <w:autoSpaceDE w:val="0"/>
      <w:autoSpaceDN w:val="0"/>
      <w:adjustRightInd w:val="0"/>
    </w:pPr>
    <w:rPr>
      <w:rFonts w:ascii="MS Mincho" w:eastAsia="MS Mincho" w:cs="MS Mincho"/>
      <w:color w:val="000000"/>
      <w:sz w:val="24"/>
      <w:szCs w:val="24"/>
      <w:lang w:val="en-AU"/>
    </w:rPr>
  </w:style>
  <w:style w:type="character" w:styleId="Emphasis">
    <w:name w:val="Emphasis"/>
    <w:basedOn w:val="DefaultParagraphFont"/>
    <w:uiPriority w:val="20"/>
    <w:qFormat/>
    <w:rsid w:val="00F37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69113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hinesemedicineconsultation@ahpra.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nesemedicineconsultation@ahpra.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Microsoft\Windows\Temporary%20Internet%20Files\Content.IE5\1OC8NPMV\PhysioBA_letter-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7141-374C-48AA-8340-98BC0AA3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PhysioBA_letter-template[1]</Template>
  <TotalTime>1</TotalTime>
  <Pages>3</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Responses to consultation questions</vt:lpstr>
    </vt:vector>
  </TitlesOfParts>
  <Company>Johanna Villani Design</Company>
  <LinksUpToDate>false</LinksUpToDate>
  <CharactersWithSpaces>9293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consultation questions</dc:title>
  <dc:subject>Consultation</dc:subject>
  <dc:creator>Chinese Medicine Board</dc:creator>
  <cp:lastModifiedBy>Gareth Meade</cp:lastModifiedBy>
  <cp:revision>3</cp:revision>
  <cp:lastPrinted>2014-10-08T22:46:00Z</cp:lastPrinted>
  <dcterms:created xsi:type="dcterms:W3CDTF">2014-10-08T22:46:00Z</dcterms:created>
  <dcterms:modified xsi:type="dcterms:W3CDTF">2014-10-08T22:46:00Z</dcterms:modified>
</cp:coreProperties>
</file>