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2B6CD5" w:rsidP="00964D11">
      <w:pPr>
        <w:pStyle w:val="AHPRAbody"/>
        <w:rPr>
          <w:lang w:val="en-AU"/>
        </w:rPr>
      </w:pPr>
      <w:r>
        <w:rPr>
          <w:noProof/>
          <w:lang w:val="en-AU"/>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tc>
          <w:tcPr>
            <w:tcW w:w="5000" w:type="pct"/>
            <w:shd w:val="clear" w:color="auto" w:fill="DAEEF3" w:themeFill="accent5" w:themeFillTint="33"/>
          </w:tcPr>
          <w:p w:rsidR="00964D11" w:rsidRPr="001D1DE8" w:rsidRDefault="00964D11" w:rsidP="00964D11">
            <w:pPr>
              <w:pStyle w:val="AHPRAtableheading"/>
              <w:jc w:val="left"/>
              <w:rPr>
                <w:lang w:val="en-AU"/>
              </w:rPr>
            </w:pPr>
            <w:r w:rsidRPr="001D1DE8">
              <w:rPr>
                <w:lang w:val="en-AU"/>
              </w:rPr>
              <w:t>Organisation name</w:t>
            </w:r>
          </w:p>
        </w:tc>
      </w:tr>
      <w:tr w:rsidR="00964D11" w:rsidRPr="001D1DE8">
        <w:tc>
          <w:tcPr>
            <w:tcW w:w="5000" w:type="pct"/>
          </w:tcPr>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tc>
          <w:tcPr>
            <w:tcW w:w="5000" w:type="pct"/>
          </w:tcPr>
          <w:p w:rsidR="00964D11" w:rsidRPr="001D1DE8" w:rsidRDefault="00964D11" w:rsidP="00964D11">
            <w:pPr>
              <w:pStyle w:val="AHPRAtabletext"/>
              <w:rPr>
                <w:lang w:val="en-AU"/>
              </w:rPr>
            </w:pPr>
          </w:p>
          <w:p w:rsidR="00964D11" w:rsidRPr="001D1DE8" w:rsidRDefault="00561099" w:rsidP="00964D11">
            <w:pPr>
              <w:pStyle w:val="AHPRAtabletext"/>
              <w:rPr>
                <w:lang w:val="en-AU"/>
              </w:rPr>
            </w:pPr>
            <w:r>
              <w:rPr>
                <w:lang w:val="en-AU"/>
              </w:rPr>
              <w:t xml:space="preserve">Steven </w:t>
            </w:r>
            <w:proofErr w:type="spellStart"/>
            <w:r>
              <w:rPr>
                <w:lang w:val="en-AU"/>
              </w:rPr>
              <w:t>Clavey</w:t>
            </w:r>
            <w:proofErr w:type="spellEnd"/>
            <w:r>
              <w:rPr>
                <w:lang w:val="en-AU"/>
              </w:rPr>
              <w:t xml:space="preserve"> </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tc>
          <w:tcPr>
            <w:tcW w:w="5000" w:type="pct"/>
            <w:shd w:val="clear" w:color="auto" w:fill="DAEEF3" w:themeFill="accent5" w:themeFillTint="33"/>
          </w:tcPr>
          <w:p w:rsidR="00964D11" w:rsidRPr="001D1DE8" w:rsidRDefault="001D1DE8" w:rsidP="00964D11">
            <w:pPr>
              <w:pStyle w:val="AHPRANumberedlistlevel1"/>
              <w:rPr>
                <w:szCs w:val="20"/>
                <w:lang w:val="en-AU"/>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p>
        </w:tc>
      </w:tr>
      <w:tr w:rsidR="00964D11" w:rsidRPr="001D1DE8">
        <w:tc>
          <w:tcPr>
            <w:tcW w:w="5000" w:type="pct"/>
          </w:tcPr>
          <w:p w:rsidR="00964D11" w:rsidRPr="001D1DE8" w:rsidRDefault="00964D11" w:rsidP="00964D11">
            <w:pPr>
              <w:pStyle w:val="AHPRAtabletext"/>
              <w:rPr>
                <w:lang w:val="en-AU"/>
              </w:rPr>
            </w:pP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tc>
          <w:tcPr>
            <w:tcW w:w="5000" w:type="pct"/>
            <w:shd w:val="clear" w:color="auto" w:fill="DAEEF3" w:themeFill="accent5" w:themeFillTint="33"/>
          </w:tcPr>
          <w:p w:rsidR="00964D11" w:rsidRPr="001D1DE8" w:rsidRDefault="001D1DE8" w:rsidP="001D1DE8">
            <w:pPr>
              <w:pStyle w:val="AHPRANumberedlistlevel1"/>
              <w:rPr>
                <w:lang w:val="en-AU"/>
              </w:rPr>
            </w:pPr>
            <w:r w:rsidRPr="001D1DE8">
              <w:rPr>
                <w:lang w:val="en-AU"/>
              </w:rPr>
              <w:t>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pharmaceutical 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tc>
          <w:tcPr>
            <w:tcW w:w="5000" w:type="pct"/>
            <w:shd w:val="clear" w:color="auto" w:fill="auto"/>
          </w:tcPr>
          <w:p w:rsidR="00556F77" w:rsidRDefault="00556F77" w:rsidP="00964D11">
            <w:pPr>
              <w:pStyle w:val="AHPRAtabletext"/>
              <w:rPr>
                <w:lang w:val="en-AU"/>
              </w:rPr>
            </w:pPr>
            <w:r>
              <w:rPr>
                <w:lang w:val="en-AU"/>
              </w:rPr>
              <w:t>Yes, pinyin should be used in Chinese herbal prescription writing.</w:t>
            </w:r>
            <w:r w:rsidR="00B76FFA">
              <w:rPr>
                <w:lang w:val="en-AU"/>
              </w:rPr>
              <w:t xml:space="preserve"> The Victorian guidelines were sufficient in this regard.</w:t>
            </w:r>
          </w:p>
          <w:p w:rsidR="00B76FFA" w:rsidRDefault="00556F77" w:rsidP="00964D11">
            <w:pPr>
              <w:pStyle w:val="AHPRAtabletext"/>
              <w:rPr>
                <w:lang w:val="en-AU"/>
              </w:rPr>
            </w:pPr>
            <w:r>
              <w:rPr>
                <w:lang w:val="en-AU"/>
              </w:rPr>
              <w:t xml:space="preserve">As an aside, </w:t>
            </w:r>
            <w:r w:rsidR="009673A4">
              <w:rPr>
                <w:lang w:val="en-AU"/>
              </w:rPr>
              <w:t xml:space="preserve">I would be very cautious about adopting TGA guidelines for traditional medicines. Their </w:t>
            </w:r>
            <w:r w:rsidR="009673A4">
              <w:rPr>
                <w:lang w:val="en-AU"/>
              </w:rPr>
              <w:lastRenderedPageBreak/>
              <w:t>purview applie</w:t>
            </w:r>
            <w:r w:rsidR="00B76FFA">
              <w:rPr>
                <w:lang w:val="en-AU"/>
              </w:rPr>
              <w:t>s to manufactured medicines ONLY, and primarily over-the-counter (OTC) medicines at that, they are not concerned with individual practice</w:t>
            </w:r>
            <w:r w:rsidR="009673A4">
              <w:rPr>
                <w:lang w:val="en-AU"/>
              </w:rPr>
              <w:t xml:space="preserve">, and </w:t>
            </w:r>
            <w:r w:rsidR="00B76FFA">
              <w:rPr>
                <w:lang w:val="en-AU"/>
              </w:rPr>
              <w:t xml:space="preserve">their management of the complementary medicine and in particular the Chinese medicine area </w:t>
            </w:r>
            <w:r w:rsidR="009673A4">
              <w:rPr>
                <w:lang w:val="en-AU"/>
              </w:rPr>
              <w:t xml:space="preserve">has been ill-thought-out. </w:t>
            </w:r>
          </w:p>
          <w:p w:rsidR="00B17E39" w:rsidRDefault="009673A4" w:rsidP="00964D11">
            <w:pPr>
              <w:pStyle w:val="AHPRAtabletext"/>
              <w:rPr>
                <w:lang w:val="en-AU"/>
              </w:rPr>
            </w:pPr>
            <w:r>
              <w:rPr>
                <w:lang w:val="en-AU"/>
              </w:rPr>
              <w:t xml:space="preserve">Even </w:t>
            </w:r>
            <w:r w:rsidR="00B76FFA">
              <w:rPr>
                <w:lang w:val="en-AU"/>
              </w:rPr>
              <w:t>in the</w:t>
            </w:r>
            <w:r>
              <w:rPr>
                <w:lang w:val="en-AU"/>
              </w:rPr>
              <w:t xml:space="preserve"> limited are</w:t>
            </w:r>
            <w:r w:rsidR="00B76FFA">
              <w:rPr>
                <w:lang w:val="en-AU"/>
              </w:rPr>
              <w:t>n</w:t>
            </w:r>
            <w:r>
              <w:rPr>
                <w:lang w:val="en-AU"/>
              </w:rPr>
              <w:t>a</w:t>
            </w:r>
            <w:r w:rsidR="00B76FFA">
              <w:rPr>
                <w:lang w:val="en-AU"/>
              </w:rPr>
              <w:t xml:space="preserve"> of OTC medicines</w:t>
            </w:r>
            <w:r>
              <w:rPr>
                <w:lang w:val="en-AU"/>
              </w:rPr>
              <w:t xml:space="preserve"> </w:t>
            </w:r>
            <w:r w:rsidR="00B76FFA">
              <w:rPr>
                <w:lang w:val="en-AU"/>
              </w:rPr>
              <w:t xml:space="preserve">the TGA approach </w:t>
            </w:r>
            <w:r>
              <w:rPr>
                <w:lang w:val="en-AU"/>
              </w:rPr>
              <w:t>has resulted in complete chaos for the Chinese medicine practitioner</w:t>
            </w:r>
            <w:r w:rsidR="00B76FFA">
              <w:rPr>
                <w:lang w:val="en-AU"/>
              </w:rPr>
              <w:t xml:space="preserve"> trying to use patent medicines. </w:t>
            </w:r>
            <w:proofErr w:type="spellStart"/>
            <w:r w:rsidR="00B76FFA">
              <w:rPr>
                <w:lang w:val="en-AU"/>
              </w:rPr>
              <w:t>Eg</w:t>
            </w:r>
            <w:proofErr w:type="spellEnd"/>
            <w:r>
              <w:rPr>
                <w:lang w:val="en-AU"/>
              </w:rPr>
              <w:t xml:space="preserve"> the indications the TGA requires the label t</w:t>
            </w:r>
            <w:r w:rsidR="00B76FFA">
              <w:rPr>
                <w:lang w:val="en-AU"/>
              </w:rPr>
              <w:t>o carry are</w:t>
            </w:r>
            <w:r>
              <w:rPr>
                <w:lang w:val="en-AU"/>
              </w:rPr>
              <w:t xml:space="preserve"> all based around Wes</w:t>
            </w:r>
            <w:r w:rsidR="00B76FFA">
              <w:rPr>
                <w:lang w:val="en-AU"/>
              </w:rPr>
              <w:t>tern bio-medical practice and are</w:t>
            </w:r>
            <w:r>
              <w:rPr>
                <w:lang w:val="en-AU"/>
              </w:rPr>
              <w:t xml:space="preserve"> completely inappropriate for Chinese medicine</w:t>
            </w:r>
            <w:r w:rsidR="00B76FFA">
              <w:rPr>
                <w:lang w:val="en-AU"/>
              </w:rPr>
              <w:t>. This</w:t>
            </w:r>
            <w:r w:rsidR="00556F77">
              <w:rPr>
                <w:lang w:val="en-AU"/>
              </w:rPr>
              <w:t xml:space="preserve"> in fact results not only in confusion but dangerous disruption of practice. </w:t>
            </w:r>
            <w:r w:rsidR="0013786E">
              <w:rPr>
                <w:lang w:val="en-AU"/>
              </w:rPr>
              <w:t>For example, i</w:t>
            </w:r>
            <w:r w:rsidR="00556F77">
              <w:rPr>
                <w:lang w:val="en-AU"/>
              </w:rPr>
              <w:t xml:space="preserve">t is very common for a male patient to refuse to take the appropriately prescribed patent medicine Xiao Yao San (Wandering Powder) because it is labelled “for the treatment of PMS” (one of the few appropriate indications allowed </w:t>
            </w:r>
            <w:r w:rsidR="00B76FFA">
              <w:rPr>
                <w:lang w:val="en-AU"/>
              </w:rPr>
              <w:t>by the TGA for this formulation</w:t>
            </w:r>
            <w:r w:rsidR="00556F77">
              <w:rPr>
                <w:lang w:val="en-AU"/>
              </w:rPr>
              <w:t xml:space="preserve">). There is no recognition of </w:t>
            </w:r>
            <w:r w:rsidR="00B76FFA">
              <w:rPr>
                <w:lang w:val="en-AU"/>
              </w:rPr>
              <w:t xml:space="preserve">or allowance for </w:t>
            </w:r>
            <w:r w:rsidR="00556F77">
              <w:rPr>
                <w:lang w:val="en-AU"/>
              </w:rPr>
              <w:t xml:space="preserve">the fact that a Chinese herbal formula has multiple uses, and </w:t>
            </w:r>
            <w:r w:rsidR="00B76FFA">
              <w:rPr>
                <w:lang w:val="en-AU"/>
              </w:rPr>
              <w:t>the result of this is that</w:t>
            </w:r>
            <w:r w:rsidR="00556F77">
              <w:rPr>
                <w:lang w:val="en-AU"/>
              </w:rPr>
              <w:t xml:space="preserve"> a patient will often fail to comply with a prescribed treatment because “the label said it was for something else.” This state of affairs has gone on for 20 years and is a disgrace.</w:t>
            </w:r>
          </w:p>
          <w:p w:rsidR="00B17E39" w:rsidRDefault="00556F77" w:rsidP="00964D11">
            <w:pPr>
              <w:pStyle w:val="AHPRAtabletext"/>
              <w:rPr>
                <w:lang w:val="en-AU"/>
              </w:rPr>
            </w:pPr>
            <w:r>
              <w:rPr>
                <w:lang w:val="en-AU"/>
              </w:rPr>
              <w:t>We need to design our own way forward in terms of patent medicine indications that work for Chinese medicine, and hopefully present a better proposal to the TGA, not the other way around.</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p>
        </w:tc>
      </w:tr>
      <w:tr w:rsidR="00964D11" w:rsidRPr="001D1DE8">
        <w:tc>
          <w:tcPr>
            <w:tcW w:w="5000" w:type="pct"/>
          </w:tcPr>
          <w:p w:rsidR="007462A8" w:rsidRDefault="00262AB6" w:rsidP="00964D11">
            <w:pPr>
              <w:pStyle w:val="AHPRAtabletext"/>
              <w:rPr>
                <w:lang w:val="en-AU"/>
              </w:rPr>
            </w:pPr>
            <w:r>
              <w:rPr>
                <w:lang w:val="en-AU"/>
              </w:rPr>
              <w:t>While “multiple species”</w:t>
            </w:r>
            <w:r w:rsidR="007462A8">
              <w:rPr>
                <w:lang w:val="en-AU"/>
              </w:rPr>
              <w:t xml:space="preserve"> may sound disturbing to the layman, the fact is that these species are for </w:t>
            </w:r>
            <w:r w:rsidR="00B76FFA">
              <w:rPr>
                <w:lang w:val="en-AU"/>
              </w:rPr>
              <w:t xml:space="preserve">all </w:t>
            </w:r>
            <w:r w:rsidR="007462A8">
              <w:rPr>
                <w:lang w:val="en-AU"/>
              </w:rPr>
              <w:t xml:space="preserve">functional purposes medically-equivalent. This means </w:t>
            </w:r>
            <w:r w:rsidR="00BB674E">
              <w:rPr>
                <w:lang w:val="en-AU"/>
              </w:rPr>
              <w:t xml:space="preserve">that you will get </w:t>
            </w:r>
            <w:r w:rsidR="003709A4">
              <w:rPr>
                <w:lang w:val="en-AU"/>
              </w:rPr>
              <w:t>a clinically-</w:t>
            </w:r>
            <w:r w:rsidR="009673A4">
              <w:rPr>
                <w:lang w:val="en-AU"/>
              </w:rPr>
              <w:t>similar</w:t>
            </w:r>
            <w:r w:rsidR="00BB674E">
              <w:rPr>
                <w:lang w:val="en-AU"/>
              </w:rPr>
              <w:t xml:space="preserve"> therapeutic effect on humans (which, after all, is </w:t>
            </w:r>
            <w:r w:rsidR="00EC7633">
              <w:rPr>
                <w:lang w:val="en-AU"/>
              </w:rPr>
              <w:t>the “testing site” where the effects of</w:t>
            </w:r>
            <w:r w:rsidR="00BB674E">
              <w:rPr>
                <w:lang w:val="en-AU"/>
              </w:rPr>
              <w:t xml:space="preserve"> Chinese herbs have been </w:t>
            </w:r>
            <w:r w:rsidR="00EC7633">
              <w:rPr>
                <w:lang w:val="en-AU"/>
              </w:rPr>
              <w:t>observed</w:t>
            </w:r>
            <w:r w:rsidR="00BB674E">
              <w:rPr>
                <w:lang w:val="en-AU"/>
              </w:rPr>
              <w:t xml:space="preserve"> for all these centuries) from</w:t>
            </w:r>
            <w:r w:rsidR="00EC7633">
              <w:rPr>
                <w:lang w:val="en-AU"/>
              </w:rPr>
              <w:t xml:space="preserve"> different species of plant</w:t>
            </w:r>
            <w:r w:rsidR="00B76FFA">
              <w:rPr>
                <w:lang w:val="en-AU"/>
              </w:rPr>
              <w:t xml:space="preserve">. In </w:t>
            </w:r>
            <w:r w:rsidR="007462A8">
              <w:rPr>
                <w:lang w:val="en-AU"/>
              </w:rPr>
              <w:t xml:space="preserve">most cases </w:t>
            </w:r>
            <w:r w:rsidR="00B76FFA">
              <w:rPr>
                <w:lang w:val="en-AU"/>
              </w:rPr>
              <w:t xml:space="preserve">these “different species” </w:t>
            </w:r>
            <w:r w:rsidR="007462A8">
              <w:rPr>
                <w:lang w:val="en-AU"/>
              </w:rPr>
              <w:t xml:space="preserve">are really very close botanically, such as in the </w:t>
            </w:r>
            <w:proofErr w:type="spellStart"/>
            <w:r w:rsidR="007462A8">
              <w:rPr>
                <w:lang w:val="en-AU"/>
              </w:rPr>
              <w:t>Lilium</w:t>
            </w:r>
            <w:proofErr w:type="spellEnd"/>
            <w:r w:rsidR="00B76FFA">
              <w:rPr>
                <w:lang w:val="en-AU"/>
              </w:rPr>
              <w:t xml:space="preserve"> species proposed as an example</w:t>
            </w:r>
            <w:r w:rsidR="00EC7633">
              <w:rPr>
                <w:lang w:val="en-AU"/>
              </w:rPr>
              <w:t xml:space="preserve">. </w:t>
            </w:r>
          </w:p>
          <w:p w:rsidR="00B76FFA" w:rsidRDefault="00EC7633" w:rsidP="00964D11">
            <w:pPr>
              <w:pStyle w:val="AHPRAtabletext"/>
              <w:rPr>
                <w:lang w:val="en-AU"/>
              </w:rPr>
            </w:pPr>
            <w:r>
              <w:rPr>
                <w:lang w:val="en-AU"/>
              </w:rPr>
              <w:t xml:space="preserve">Where there </w:t>
            </w:r>
            <w:r w:rsidRPr="00B76FFA">
              <w:rPr>
                <w:i/>
                <w:lang w:val="en-AU"/>
              </w:rPr>
              <w:t>are</w:t>
            </w:r>
            <w:r>
              <w:rPr>
                <w:lang w:val="en-AU"/>
              </w:rPr>
              <w:t xml:space="preserve"> significant differences in effect, this is for the most part accounted for in the additional designations used traditionally, </w:t>
            </w:r>
            <w:proofErr w:type="spellStart"/>
            <w:r>
              <w:rPr>
                <w:lang w:val="en-AU"/>
              </w:rPr>
              <w:t>eg</w:t>
            </w:r>
            <w:proofErr w:type="spellEnd"/>
            <w:r>
              <w:rPr>
                <w:lang w:val="en-AU"/>
              </w:rPr>
              <w:t xml:space="preserve"> </w:t>
            </w:r>
            <w:proofErr w:type="spellStart"/>
            <w:r>
              <w:rPr>
                <w:lang w:val="en-AU"/>
              </w:rPr>
              <w:t>Bei</w:t>
            </w:r>
            <w:proofErr w:type="spellEnd"/>
            <w:r>
              <w:rPr>
                <w:lang w:val="en-AU"/>
              </w:rPr>
              <w:t xml:space="preserve"> </w:t>
            </w:r>
            <w:proofErr w:type="spellStart"/>
            <w:r>
              <w:rPr>
                <w:lang w:val="en-AU"/>
              </w:rPr>
              <w:t>Sha</w:t>
            </w:r>
            <w:proofErr w:type="spellEnd"/>
            <w:r>
              <w:rPr>
                <w:lang w:val="en-AU"/>
              </w:rPr>
              <w:t xml:space="preserve"> Shen (for </w:t>
            </w:r>
            <w:proofErr w:type="spellStart"/>
            <w:r>
              <w:rPr>
                <w:lang w:val="en-AU"/>
              </w:rPr>
              <w:t>Glehnia</w:t>
            </w:r>
            <w:proofErr w:type="spellEnd"/>
            <w:r>
              <w:rPr>
                <w:lang w:val="en-AU"/>
              </w:rPr>
              <w:t xml:space="preserve"> </w:t>
            </w:r>
            <w:proofErr w:type="spellStart"/>
            <w:r>
              <w:rPr>
                <w:lang w:val="en-AU"/>
              </w:rPr>
              <w:t>littoralis</w:t>
            </w:r>
            <w:proofErr w:type="spellEnd"/>
            <w:r>
              <w:rPr>
                <w:lang w:val="en-AU"/>
              </w:rPr>
              <w:t xml:space="preserve"> root) or Nan </w:t>
            </w:r>
            <w:proofErr w:type="spellStart"/>
            <w:r>
              <w:rPr>
                <w:lang w:val="en-AU"/>
              </w:rPr>
              <w:t>Sha</w:t>
            </w:r>
            <w:proofErr w:type="spellEnd"/>
            <w:r>
              <w:rPr>
                <w:lang w:val="en-AU"/>
              </w:rPr>
              <w:t xml:space="preserve"> Shen (for </w:t>
            </w:r>
            <w:proofErr w:type="spellStart"/>
            <w:r>
              <w:rPr>
                <w:lang w:val="en-AU"/>
              </w:rPr>
              <w:t>Adenophora</w:t>
            </w:r>
            <w:proofErr w:type="spellEnd"/>
            <w:r>
              <w:rPr>
                <w:lang w:val="en-AU"/>
              </w:rPr>
              <w:t xml:space="preserve"> </w:t>
            </w:r>
            <w:proofErr w:type="spellStart"/>
            <w:r>
              <w:rPr>
                <w:lang w:val="en-AU"/>
              </w:rPr>
              <w:t>tetraphylla</w:t>
            </w:r>
            <w:proofErr w:type="spellEnd"/>
            <w:r>
              <w:rPr>
                <w:lang w:val="en-AU"/>
              </w:rPr>
              <w:t xml:space="preserve">). </w:t>
            </w:r>
            <w:r w:rsidR="0013786E">
              <w:rPr>
                <w:lang w:val="en-AU"/>
              </w:rPr>
              <w:t>All this is of course part of the training of a competent Chinese herbalist.</w:t>
            </w:r>
          </w:p>
          <w:p w:rsidR="00EC7633" w:rsidRDefault="00EC7633" w:rsidP="00964D11">
            <w:pPr>
              <w:pStyle w:val="AHPRAtabletext"/>
              <w:rPr>
                <w:lang w:val="en-AU"/>
              </w:rPr>
            </w:pPr>
          </w:p>
          <w:p w:rsidR="00EC7633" w:rsidRDefault="00B76FFA" w:rsidP="00964D11">
            <w:pPr>
              <w:pStyle w:val="AHPRAtabletext"/>
              <w:rPr>
                <w:lang w:val="en-AU"/>
              </w:rPr>
            </w:pPr>
            <w:r>
              <w:rPr>
                <w:lang w:val="en-AU"/>
              </w:rPr>
              <w:t>These facts reduce</w:t>
            </w:r>
            <w:r w:rsidR="00EC7633">
              <w:rPr>
                <w:lang w:val="en-AU"/>
              </w:rPr>
              <w:t xml:space="preserve"> the significance of the “impossible to accurately identify the species” to the very few instances in which there may have been an adverse event.</w:t>
            </w:r>
          </w:p>
          <w:p w:rsidR="00BB674E" w:rsidRDefault="00EC7633" w:rsidP="00964D11">
            <w:pPr>
              <w:pStyle w:val="AHPRAtabletext"/>
              <w:rPr>
                <w:lang w:val="en-AU"/>
              </w:rPr>
            </w:pPr>
            <w:r>
              <w:rPr>
                <w:lang w:val="en-AU"/>
              </w:rPr>
              <w:t xml:space="preserve">It is overkill to require the botanical name for every herb to be supplied to </w:t>
            </w:r>
            <w:r w:rsidR="009673A4">
              <w:rPr>
                <w:lang w:val="en-AU"/>
              </w:rPr>
              <w:t>every</w:t>
            </w:r>
            <w:r>
              <w:rPr>
                <w:lang w:val="en-AU"/>
              </w:rPr>
              <w:t xml:space="preserve"> patient, 99.9% of whom will never need it. It is sufficient to have the botanical name available at the prescribing clinic where it may be accessed if needed.</w:t>
            </w:r>
          </w:p>
          <w:p w:rsidR="00964D11" w:rsidRPr="001D1DE8" w:rsidRDefault="00964D11" w:rsidP="003709A4">
            <w:pPr>
              <w:pStyle w:val="AHPRAtabletext"/>
              <w:rPr>
                <w:lang w:val="en-AU"/>
              </w:rPr>
            </w:pPr>
          </w:p>
        </w:tc>
      </w:tr>
      <w:tr w:rsidR="00964D11" w:rsidRPr="001D1DE8">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t>Are the labelling requirements practical to implement?</w:t>
            </w:r>
          </w:p>
        </w:tc>
      </w:tr>
      <w:tr w:rsidR="00964D11" w:rsidRPr="001D1DE8">
        <w:tc>
          <w:tcPr>
            <w:tcW w:w="5000" w:type="pct"/>
          </w:tcPr>
          <w:p w:rsidR="002F4DD8" w:rsidRDefault="00B17E39" w:rsidP="00964D11">
            <w:pPr>
              <w:pStyle w:val="AHPRAtabletext"/>
              <w:rPr>
                <w:lang w:val="en-AU"/>
              </w:rPr>
            </w:pPr>
            <w:r>
              <w:rPr>
                <w:lang w:val="en-AU"/>
              </w:rPr>
              <w:t>The labelling requirement that each daily dose (</w:t>
            </w:r>
            <w:proofErr w:type="spellStart"/>
            <w:r>
              <w:rPr>
                <w:lang w:val="en-AU"/>
              </w:rPr>
              <w:t>eg</w:t>
            </w:r>
            <w:proofErr w:type="spellEnd"/>
            <w:r>
              <w:rPr>
                <w:lang w:val="en-AU"/>
              </w:rPr>
              <w:t xml:space="preserve">, one bag of raw herbs) be labelled with all the information stated is impractical and excessive. </w:t>
            </w:r>
          </w:p>
          <w:p w:rsidR="002F4DD8" w:rsidRDefault="002F4DD8" w:rsidP="00964D11">
            <w:pPr>
              <w:pStyle w:val="AHPRAtabletext"/>
              <w:rPr>
                <w:lang w:val="en-AU"/>
              </w:rPr>
            </w:pPr>
          </w:p>
          <w:p w:rsidR="002F4DD8" w:rsidRDefault="00B17E39" w:rsidP="00964D11">
            <w:pPr>
              <w:pStyle w:val="AHPRAtabletext"/>
              <w:rPr>
                <w:lang w:val="en-AU"/>
              </w:rPr>
            </w:pPr>
            <w:r>
              <w:rPr>
                <w:lang w:val="en-AU"/>
              </w:rPr>
              <w:t>As long as a clear written prescription is provided to the patient with all the information required (as stated in the guidelines for individualised herbal formulae</w:t>
            </w:r>
            <w:r w:rsidR="002F4DD8">
              <w:rPr>
                <w:lang w:val="en-AU"/>
              </w:rPr>
              <w:t>, the name of each herb IN PINYIN</w:t>
            </w:r>
            <w:r>
              <w:rPr>
                <w:lang w:val="en-AU"/>
              </w:rPr>
              <w:t xml:space="preserve">), each bag can </w:t>
            </w:r>
            <w:r w:rsidR="002F4DD8">
              <w:rPr>
                <w:lang w:val="en-AU"/>
              </w:rPr>
              <w:t xml:space="preserve">then </w:t>
            </w:r>
            <w:r>
              <w:rPr>
                <w:lang w:val="en-AU"/>
              </w:rPr>
              <w:t>be safely labelled with the prescription number, the name of the patient, the date, and crucial warnings in red (</w:t>
            </w:r>
            <w:proofErr w:type="spellStart"/>
            <w:r>
              <w:rPr>
                <w:lang w:val="en-AU"/>
              </w:rPr>
              <w:t>eg</w:t>
            </w:r>
            <w:proofErr w:type="spellEnd"/>
            <w:r>
              <w:rPr>
                <w:lang w:val="en-AU"/>
              </w:rPr>
              <w:t xml:space="preserve"> “External Use Only”).</w:t>
            </w:r>
          </w:p>
          <w:p w:rsidR="00B17E39" w:rsidRDefault="00B17E39" w:rsidP="00964D11">
            <w:pPr>
              <w:pStyle w:val="AHPRAtabletext"/>
              <w:rPr>
                <w:lang w:val="en-AU"/>
              </w:rPr>
            </w:pPr>
          </w:p>
          <w:p w:rsidR="002F4DD8" w:rsidRDefault="00B17E39" w:rsidP="00964D11">
            <w:pPr>
              <w:pStyle w:val="AHPRAtabletext"/>
              <w:rPr>
                <w:lang w:val="en-AU"/>
              </w:rPr>
            </w:pPr>
            <w:r>
              <w:rPr>
                <w:lang w:val="en-AU"/>
              </w:rPr>
              <w:t>This way all important information is provided to the patient.</w:t>
            </w:r>
          </w:p>
          <w:p w:rsidR="00B17E39" w:rsidRDefault="00B17E39" w:rsidP="00964D11">
            <w:pPr>
              <w:pStyle w:val="AHPRAtabletext"/>
              <w:rPr>
                <w:lang w:val="en-AU"/>
              </w:rPr>
            </w:pPr>
          </w:p>
          <w:p w:rsidR="009673A4" w:rsidRDefault="00B17E39" w:rsidP="00964D11">
            <w:pPr>
              <w:pStyle w:val="AHPRAtabletext"/>
              <w:rPr>
                <w:lang w:val="en-AU"/>
              </w:rPr>
            </w:pPr>
            <w:r>
              <w:rPr>
                <w:lang w:val="en-AU"/>
              </w:rPr>
              <w:t xml:space="preserve">“Impractical” because it would involve either a very time-consuming copying of a complex prescription </w:t>
            </w:r>
            <w:r w:rsidR="00441F7D">
              <w:rPr>
                <w:lang w:val="en-AU"/>
              </w:rPr>
              <w:t xml:space="preserve">with 12-15 herbs, written out </w:t>
            </w:r>
            <w:r>
              <w:rPr>
                <w:lang w:val="en-AU"/>
              </w:rPr>
              <w:t xml:space="preserve">eight or nine </w:t>
            </w:r>
            <w:r w:rsidR="00441F7D">
              <w:rPr>
                <w:lang w:val="en-AU"/>
              </w:rPr>
              <w:t>times (</w:t>
            </w:r>
            <w:r>
              <w:rPr>
                <w:lang w:val="en-AU"/>
              </w:rPr>
              <w:t>or however many bags are prescribed</w:t>
            </w:r>
            <w:r w:rsidR="00441F7D">
              <w:rPr>
                <w:lang w:val="en-AU"/>
              </w:rPr>
              <w:t>)</w:t>
            </w:r>
            <w:r>
              <w:rPr>
                <w:lang w:val="en-AU"/>
              </w:rPr>
              <w:t xml:space="preserve">, or a </w:t>
            </w:r>
            <w:r w:rsidR="00B93462">
              <w:rPr>
                <w:lang w:val="en-AU"/>
              </w:rPr>
              <w:t>change in technology so that</w:t>
            </w:r>
            <w:r w:rsidR="007462A8">
              <w:rPr>
                <w:lang w:val="en-AU"/>
              </w:rPr>
              <w:t xml:space="preserve"> prescriptions must be computer-</w:t>
            </w:r>
            <w:r w:rsidR="00B93462">
              <w:rPr>
                <w:lang w:val="en-AU"/>
              </w:rPr>
              <w:t>generated and labels printed out. It may be that the latter is seen as preferable</w:t>
            </w:r>
            <w:r w:rsidR="007462A8">
              <w:rPr>
                <w:lang w:val="en-AU"/>
              </w:rPr>
              <w:t xml:space="preserve"> by the Board</w:t>
            </w:r>
            <w:r w:rsidR="00B93462">
              <w:rPr>
                <w:lang w:val="en-AU"/>
              </w:rPr>
              <w:t xml:space="preserve">, but most practitioners at present </w:t>
            </w:r>
            <w:r w:rsidR="00441F7D">
              <w:rPr>
                <w:lang w:val="en-AU"/>
              </w:rPr>
              <w:t>write out prescriptions by hand, and the demanded change would result in very widespre</w:t>
            </w:r>
            <w:r w:rsidR="009673A4">
              <w:rPr>
                <w:lang w:val="en-AU"/>
              </w:rPr>
              <w:t>ad disruption of daily practice and significant outlay of capital for new technology.</w:t>
            </w:r>
          </w:p>
          <w:p w:rsidR="00B93462" w:rsidRDefault="00B93462" w:rsidP="00964D11">
            <w:pPr>
              <w:pStyle w:val="AHPRAtabletext"/>
              <w:rPr>
                <w:lang w:val="en-AU"/>
              </w:rPr>
            </w:pPr>
          </w:p>
          <w:p w:rsidR="00B93462" w:rsidRDefault="00B93462" w:rsidP="00964D11">
            <w:pPr>
              <w:pStyle w:val="AHPRAtabletext"/>
              <w:rPr>
                <w:lang w:val="en-AU"/>
              </w:rPr>
            </w:pPr>
            <w:r>
              <w:rPr>
                <w:lang w:val="en-AU"/>
              </w:rPr>
              <w:lastRenderedPageBreak/>
              <w:t>There are factors here</w:t>
            </w:r>
            <w:r w:rsidR="00441F7D">
              <w:rPr>
                <w:lang w:val="en-AU"/>
              </w:rPr>
              <w:t>, too,</w:t>
            </w:r>
            <w:r>
              <w:rPr>
                <w:lang w:val="en-AU"/>
              </w:rPr>
              <w:t xml:space="preserve"> that go beyond what the Board may have considered.</w:t>
            </w:r>
          </w:p>
          <w:p w:rsidR="00964D11" w:rsidRPr="001D1DE8" w:rsidRDefault="00B93462" w:rsidP="00964D11">
            <w:pPr>
              <w:pStyle w:val="AHPRAtabletext"/>
              <w:rPr>
                <w:lang w:val="en-AU"/>
              </w:rPr>
            </w:pPr>
            <w:r>
              <w:rPr>
                <w:lang w:val="en-AU"/>
              </w:rPr>
              <w:t>In my traditional teacher’s opinion, for example, a well-written prescription</w:t>
            </w:r>
            <w:r w:rsidR="00441F7D">
              <w:rPr>
                <w:lang w:val="en-AU"/>
              </w:rPr>
              <w:t>, its choice of language and its very structure,</w:t>
            </w:r>
            <w:r>
              <w:rPr>
                <w:lang w:val="en-AU"/>
              </w:rPr>
              <w:t xml:space="preserve"> was considered an art form that itself had a therapeutic function: a patient would observe the elegant presentation of the handwritten prescription and realise he had found a trustworthy physician. At the very least (leaving aside the effects of trust on a treatment) it would ensure compliance with the protocol set out for him.</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tc>
          <w:tcPr>
            <w:tcW w:w="5000" w:type="pct"/>
            <w:shd w:val="clear" w:color="auto" w:fill="DAEEF3" w:themeFill="accent5" w:themeFillTint="33"/>
          </w:tcPr>
          <w:p w:rsidR="00964D11" w:rsidRPr="001D1DE8" w:rsidRDefault="001D1DE8" w:rsidP="00964D11">
            <w:pPr>
              <w:pStyle w:val="AHPRANumberedlistlevel1"/>
              <w:rPr>
                <w:lang w:val="en-AU"/>
              </w:rPr>
            </w:pPr>
            <w:r>
              <w:lastRenderedPageBreak/>
              <w:t>Is the required information for prescriptions appropriate?</w:t>
            </w:r>
          </w:p>
        </w:tc>
      </w:tr>
      <w:tr w:rsidR="00964D11" w:rsidRPr="001D1DE8">
        <w:tc>
          <w:tcPr>
            <w:tcW w:w="5000" w:type="pct"/>
          </w:tcPr>
          <w:p w:rsidR="00964D11" w:rsidRPr="001D1DE8" w:rsidRDefault="0013786E" w:rsidP="00964D11">
            <w:pPr>
              <w:pStyle w:val="AHPRAtabletext"/>
              <w:rPr>
                <w:lang w:val="en-AU"/>
              </w:rPr>
            </w:pPr>
            <w:r>
              <w:rPr>
                <w:lang w:val="en-AU"/>
              </w:rPr>
              <w:t>Yes, except that not every individual prescription is based on a standard formula. This should not be required to be part of the prescription unless the practitioner wishes to state it.</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964D11" w:rsidRPr="001D1DE8">
        <w:tc>
          <w:tcPr>
            <w:tcW w:w="5000" w:type="pct"/>
            <w:shd w:val="clear" w:color="auto" w:fill="DAEEF3" w:themeFill="accent5" w:themeFillTint="33"/>
          </w:tcPr>
          <w:p w:rsidR="00964D11" w:rsidRPr="001D1DE8" w:rsidRDefault="001D1DE8" w:rsidP="00964D11">
            <w:pPr>
              <w:pStyle w:val="AHPRANumberedlistlevel1"/>
              <w:rPr>
                <w:lang w:val="en-AU"/>
              </w:rPr>
            </w:pPr>
            <w:r>
              <w:t>Do you agree with the circumstances in which a medicine may be supplied for self-medication?</w:t>
            </w:r>
          </w:p>
        </w:tc>
      </w:tr>
      <w:tr w:rsidR="00964D11" w:rsidRPr="001D1DE8">
        <w:tc>
          <w:tcPr>
            <w:tcW w:w="5000" w:type="pct"/>
          </w:tcPr>
          <w:p w:rsidR="00964D11" w:rsidRPr="001D1DE8" w:rsidRDefault="00B6504A" w:rsidP="00964D11">
            <w:pPr>
              <w:pStyle w:val="AHPRAtabletext"/>
              <w:rPr>
                <w:lang w:val="en-AU"/>
              </w:rPr>
            </w:pPr>
            <w:r>
              <w:rPr>
                <w:lang w:val="en-AU"/>
              </w:rPr>
              <w:t>Yes</w:t>
            </w:r>
          </w:p>
          <w:p w:rsidR="00964D11" w:rsidRPr="001D1DE8" w:rsidRDefault="00964D11" w:rsidP="00964D11">
            <w:pPr>
              <w:pStyle w:val="AHPRAtabletext"/>
              <w:rPr>
                <w:lang w:val="en-AU"/>
              </w:rPr>
            </w:pPr>
          </w:p>
          <w:p w:rsidR="00964D11" w:rsidRPr="001D1DE8" w:rsidRDefault="00964D11" w:rsidP="00964D11">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Do you agree with the limited role of dispensary assistants as outlined in section 5 of the guidelines?</w:t>
            </w:r>
          </w:p>
        </w:tc>
      </w:tr>
      <w:tr w:rsidR="001D1DE8" w:rsidRPr="001D1DE8">
        <w:tc>
          <w:tcPr>
            <w:tcW w:w="5000" w:type="pct"/>
          </w:tcPr>
          <w:p w:rsidR="001D1DE8" w:rsidRPr="001D1DE8" w:rsidRDefault="001D1DE8" w:rsidP="00561099">
            <w:pPr>
              <w:pStyle w:val="AHPRAtabletext"/>
              <w:rPr>
                <w:lang w:val="en-AU"/>
              </w:rPr>
            </w:pPr>
          </w:p>
          <w:p w:rsidR="001D1DE8" w:rsidRPr="001D1DE8" w:rsidRDefault="00B6504A" w:rsidP="00561099">
            <w:pPr>
              <w:pStyle w:val="AHPRAtabletext"/>
              <w:rPr>
                <w:lang w:val="en-AU"/>
              </w:rPr>
            </w:pPr>
            <w:r>
              <w:rPr>
                <w:lang w:val="en-AU"/>
              </w:rPr>
              <w:t>Yes</w:t>
            </w: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Are there any additional requirements which should apply to the management of a Chinese herbal dispensary?</w:t>
            </w:r>
          </w:p>
        </w:tc>
      </w:tr>
      <w:tr w:rsidR="001D1DE8" w:rsidRPr="001D1DE8">
        <w:tc>
          <w:tcPr>
            <w:tcW w:w="5000" w:type="pct"/>
          </w:tcPr>
          <w:p w:rsidR="001D1DE8" w:rsidRPr="001D1DE8" w:rsidRDefault="001D1DE8" w:rsidP="00561099">
            <w:pPr>
              <w:pStyle w:val="AHPRAtabletext"/>
              <w:rPr>
                <w:lang w:val="en-AU"/>
              </w:rPr>
            </w:pPr>
          </w:p>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Does the sample label and prescription assist in understanding the requirements set out in the guidelines? Should any other examples be used?</w:t>
            </w:r>
          </w:p>
        </w:tc>
      </w:tr>
      <w:tr w:rsidR="001D1DE8" w:rsidRPr="001D1DE8">
        <w:tc>
          <w:tcPr>
            <w:tcW w:w="5000" w:type="pct"/>
          </w:tcPr>
          <w:p w:rsidR="001D1DE8" w:rsidRPr="001D1DE8" w:rsidRDefault="001D1DE8" w:rsidP="00561099">
            <w:pPr>
              <w:pStyle w:val="AHPRAtabletext"/>
              <w:rPr>
                <w:lang w:val="en-AU"/>
              </w:rPr>
            </w:pPr>
          </w:p>
          <w:p w:rsidR="007462A8" w:rsidRDefault="007462A8" w:rsidP="00561099">
            <w:pPr>
              <w:pStyle w:val="AHPRAtabletext"/>
              <w:rPr>
                <w:lang w:val="en-AU"/>
              </w:rPr>
            </w:pPr>
            <w:r>
              <w:rPr>
                <w:lang w:val="en-AU"/>
              </w:rPr>
              <w:t>T</w:t>
            </w:r>
            <w:r w:rsidR="00B6504A">
              <w:rPr>
                <w:lang w:val="en-AU"/>
              </w:rPr>
              <w:t>his sample</w:t>
            </w:r>
            <w:r>
              <w:rPr>
                <w:lang w:val="en-AU"/>
              </w:rPr>
              <w:t xml:space="preserve"> should have been provided at the relevant section. I only found it after quite a while of looking.</w:t>
            </w:r>
          </w:p>
          <w:p w:rsidR="001D1DE8" w:rsidRPr="001D1DE8" w:rsidRDefault="007462A8" w:rsidP="00561099">
            <w:pPr>
              <w:pStyle w:val="AHPRAtabletext"/>
              <w:rPr>
                <w:lang w:val="en-AU"/>
              </w:rPr>
            </w:pPr>
            <w:r>
              <w:rPr>
                <w:lang w:val="en-AU"/>
              </w:rPr>
              <w:t>When I did find it, it made it clear that having such</w:t>
            </w:r>
            <w:r w:rsidR="0081123A">
              <w:rPr>
                <w:lang w:val="en-AU"/>
              </w:rPr>
              <w:t xml:space="preserve"> a label for each pack of herbs dispensed as part of a single prescription </w:t>
            </w:r>
            <w:r>
              <w:rPr>
                <w:lang w:val="en-AU"/>
              </w:rPr>
              <w:t>is excessive and unnecessary, and makes a mockery of saying “You can use pinyin for your prescriptions” (since your package labelling would require the botanical name anyway).</w:t>
            </w: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Taken as a whole, are the guidelines practical to implement and sufficient for safe practice?</w:t>
            </w:r>
          </w:p>
        </w:tc>
      </w:tr>
      <w:tr w:rsidR="001D1DE8" w:rsidRPr="001D1DE8">
        <w:tc>
          <w:tcPr>
            <w:tcW w:w="5000" w:type="pct"/>
          </w:tcPr>
          <w:p w:rsidR="00B6504A" w:rsidRDefault="00B6504A" w:rsidP="00561099">
            <w:pPr>
              <w:pStyle w:val="AHPRAtabletext"/>
              <w:rPr>
                <w:lang w:val="en-AU"/>
              </w:rPr>
            </w:pPr>
          </w:p>
          <w:p w:rsidR="002F4DD8" w:rsidRDefault="007462A8" w:rsidP="00561099">
            <w:pPr>
              <w:pStyle w:val="AHPRAtabletext"/>
              <w:rPr>
                <w:lang w:val="en-AU"/>
              </w:rPr>
            </w:pPr>
            <w:r>
              <w:rPr>
                <w:lang w:val="en-AU"/>
              </w:rPr>
              <w:t>Impractical. It would be sufficient to have</w:t>
            </w:r>
            <w:r w:rsidR="002F4DD8">
              <w:rPr>
                <w:lang w:val="en-AU"/>
              </w:rPr>
              <w:t xml:space="preserve"> a clear written prescription</w:t>
            </w:r>
            <w:r>
              <w:rPr>
                <w:lang w:val="en-AU"/>
              </w:rPr>
              <w:t xml:space="preserve"> provided to the patient with all the information required (as stated in the guidelines for individualised herbal formulae</w:t>
            </w:r>
            <w:r w:rsidR="002F4DD8">
              <w:rPr>
                <w:lang w:val="en-AU"/>
              </w:rPr>
              <w:t>, the name of each herb IN PINYIN</w:t>
            </w:r>
            <w:r>
              <w:rPr>
                <w:lang w:val="en-AU"/>
              </w:rPr>
              <w:t xml:space="preserve">), </w:t>
            </w:r>
            <w:r w:rsidR="002F4DD8">
              <w:rPr>
                <w:lang w:val="en-AU"/>
              </w:rPr>
              <w:t xml:space="preserve">after which </w:t>
            </w:r>
            <w:r>
              <w:rPr>
                <w:lang w:val="en-AU"/>
              </w:rPr>
              <w:t>each bag can be safely labelled with the prescription number, the name of the patient, the date, and crucial warnings in red (</w:t>
            </w:r>
            <w:proofErr w:type="spellStart"/>
            <w:r>
              <w:rPr>
                <w:lang w:val="en-AU"/>
              </w:rPr>
              <w:t>eg</w:t>
            </w:r>
            <w:proofErr w:type="spellEnd"/>
            <w:r>
              <w:rPr>
                <w:lang w:val="en-AU"/>
              </w:rPr>
              <w:t xml:space="preserve"> “External Use Only”).</w:t>
            </w:r>
          </w:p>
          <w:p w:rsidR="001D1DE8" w:rsidRPr="001D1DE8" w:rsidRDefault="002F4DD8" w:rsidP="00561099">
            <w:pPr>
              <w:pStyle w:val="AHPRAtabletext"/>
              <w:rPr>
                <w:lang w:val="en-AU"/>
              </w:rPr>
            </w:pPr>
            <w:r>
              <w:rPr>
                <w:lang w:val="en-AU"/>
              </w:rPr>
              <w:t xml:space="preserve">This would satisfy the need for safety and clarity. In those extremely rare instances where the precise botanical name of the species used is required for some reason, </w:t>
            </w:r>
            <w:proofErr w:type="spellStart"/>
            <w:r>
              <w:rPr>
                <w:lang w:val="en-AU"/>
              </w:rPr>
              <w:t>eg</w:t>
            </w:r>
            <w:proofErr w:type="spellEnd"/>
            <w:r>
              <w:rPr>
                <w:lang w:val="en-AU"/>
              </w:rPr>
              <w:t xml:space="preserve"> an adverse event, it can be supplied by the practitioner upon demand.</w:t>
            </w:r>
          </w:p>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Is the content flow and structure of the guideline helpful, clear, relevant and workable?</w:t>
            </w:r>
          </w:p>
        </w:tc>
      </w:tr>
      <w:tr w:rsidR="001D1DE8" w:rsidRPr="001D1DE8">
        <w:tc>
          <w:tcPr>
            <w:tcW w:w="5000" w:type="pct"/>
          </w:tcPr>
          <w:p w:rsidR="00B6504A" w:rsidRDefault="00B6504A" w:rsidP="00561099">
            <w:pPr>
              <w:pStyle w:val="AHPRAtabletext"/>
              <w:rPr>
                <w:lang w:val="en-AU"/>
              </w:rPr>
            </w:pPr>
          </w:p>
          <w:p w:rsidR="001D1DE8" w:rsidRPr="001D1DE8" w:rsidRDefault="00262AB6" w:rsidP="00561099">
            <w:pPr>
              <w:pStyle w:val="AHPRAtabletext"/>
              <w:rPr>
                <w:lang w:val="en-AU"/>
              </w:rPr>
            </w:pPr>
            <w:r>
              <w:rPr>
                <w:lang w:val="en-AU"/>
              </w:rPr>
              <w:t xml:space="preserve">Section 2: “Labelling” it was unclear </w:t>
            </w:r>
            <w:r w:rsidR="007462A8">
              <w:rPr>
                <w:lang w:val="en-AU"/>
              </w:rPr>
              <w:t xml:space="preserve">at first </w:t>
            </w:r>
            <w:r>
              <w:rPr>
                <w:lang w:val="en-AU"/>
              </w:rPr>
              <w:t xml:space="preserve">whether “dispensed medicines” </w:t>
            </w:r>
            <w:r w:rsidR="007462A8">
              <w:rPr>
                <w:lang w:val="en-AU"/>
              </w:rPr>
              <w:t>referred</w:t>
            </w:r>
            <w:r>
              <w:rPr>
                <w:lang w:val="en-AU"/>
              </w:rPr>
              <w:t xml:space="preserve"> </w:t>
            </w:r>
            <w:r w:rsidR="007462A8">
              <w:rPr>
                <w:lang w:val="en-AU"/>
              </w:rPr>
              <w:t>to individually prescribed raw herbs; this only became</w:t>
            </w:r>
            <w:r>
              <w:rPr>
                <w:lang w:val="en-AU"/>
              </w:rPr>
              <w:t xml:space="preserve"> </w:t>
            </w:r>
            <w:r w:rsidR="007462A8">
              <w:rPr>
                <w:lang w:val="en-AU"/>
              </w:rPr>
              <w:t>clear toward the end of the section.</w:t>
            </w:r>
          </w:p>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Is there any content that needs to be changed or deleted?</w:t>
            </w:r>
          </w:p>
        </w:tc>
      </w:tr>
      <w:tr w:rsidR="001D1DE8" w:rsidRPr="001D1DE8">
        <w:tc>
          <w:tcPr>
            <w:tcW w:w="5000" w:type="pct"/>
          </w:tcPr>
          <w:p w:rsidR="001D1DE8" w:rsidRPr="001D1DE8" w:rsidRDefault="001D1DE8" w:rsidP="00561099">
            <w:pPr>
              <w:pStyle w:val="AHPRAtabletext"/>
              <w:rPr>
                <w:lang w:val="en-AU"/>
              </w:rPr>
            </w:pPr>
          </w:p>
          <w:p w:rsidR="001D1DE8" w:rsidRPr="001D1DE8" w:rsidRDefault="0013786E" w:rsidP="00561099">
            <w:pPr>
              <w:pStyle w:val="AHPRAtabletext"/>
              <w:rPr>
                <w:lang w:val="en-AU"/>
              </w:rPr>
            </w:pPr>
            <w:r>
              <w:rPr>
                <w:lang w:val="en-AU"/>
              </w:rPr>
              <w:t>As per these comments.</w:t>
            </w: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Is there anything missing that needs to be added?</w:t>
            </w:r>
          </w:p>
        </w:tc>
      </w:tr>
      <w:tr w:rsidR="001D1DE8" w:rsidRPr="001D1DE8">
        <w:tc>
          <w:tcPr>
            <w:tcW w:w="5000" w:type="pct"/>
          </w:tcPr>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lastRenderedPageBreak/>
              <w:t>Do you agree with the proposed 12-month transition period and if so is this period adequate?</w:t>
            </w:r>
          </w:p>
        </w:tc>
      </w:tr>
      <w:tr w:rsidR="001D1DE8" w:rsidRPr="001D1DE8">
        <w:tc>
          <w:tcPr>
            <w:tcW w:w="5000" w:type="pct"/>
          </w:tcPr>
          <w:p w:rsidR="002F4DD8" w:rsidRDefault="002F4DD8" w:rsidP="00561099">
            <w:pPr>
              <w:pStyle w:val="AHPRAtabletext"/>
              <w:rPr>
                <w:lang w:val="en-AU"/>
              </w:rPr>
            </w:pPr>
            <w:r>
              <w:rPr>
                <w:lang w:val="en-AU"/>
              </w:rPr>
              <w:t xml:space="preserve">If it requires a separate computer system and new software for printing labels for individual bags, probably the time is inadequate. I am not </w:t>
            </w:r>
            <w:r w:rsidR="00E07B87">
              <w:rPr>
                <w:lang w:val="en-AU"/>
              </w:rPr>
              <w:t xml:space="preserve">even </w:t>
            </w:r>
            <w:r>
              <w:rPr>
                <w:lang w:val="en-AU"/>
              </w:rPr>
              <w:t xml:space="preserve">aware of the availability of such software, </w:t>
            </w:r>
            <w:r w:rsidR="00E07B87">
              <w:rPr>
                <w:lang w:val="en-AU"/>
              </w:rPr>
              <w:t xml:space="preserve">its cost </w:t>
            </w:r>
            <w:r>
              <w:rPr>
                <w:lang w:val="en-AU"/>
              </w:rPr>
              <w:t>nor how much training may be involved in its use.</w:t>
            </w:r>
          </w:p>
          <w:p w:rsidR="001D1DE8" w:rsidRPr="001D1DE8" w:rsidRDefault="002F4DD8" w:rsidP="00561099">
            <w:pPr>
              <w:pStyle w:val="AHPRAtabletext"/>
              <w:rPr>
                <w:lang w:val="en-AU"/>
              </w:rPr>
            </w:pPr>
            <w:r>
              <w:rPr>
                <w:lang w:val="en-AU"/>
              </w:rPr>
              <w:t>And this is in a practice (</w:t>
            </w:r>
            <w:proofErr w:type="spellStart"/>
            <w:r>
              <w:rPr>
                <w:lang w:val="en-AU"/>
              </w:rPr>
              <w:t>ie</w:t>
            </w:r>
            <w:proofErr w:type="spellEnd"/>
            <w:r>
              <w:rPr>
                <w:lang w:val="en-AU"/>
              </w:rPr>
              <w:t>, mine) where the rest of the guidelines as specified are already in place, albeit in a handwritten form.</w:t>
            </w:r>
            <w:r w:rsidR="0081123A">
              <w:rPr>
                <w:lang w:val="en-AU"/>
              </w:rPr>
              <w:t xml:space="preserve"> The impact on other practices, those newly registered for example, may well be much more onerous.</w:t>
            </w:r>
          </w:p>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E91B49" w:rsidRDefault="00E91B49" w:rsidP="00E91B49">
            <w:pPr>
              <w:pStyle w:val="AHPRANumberedlistlevel1"/>
            </w:pPr>
            <w:r>
              <w:t>Should the review period for the guidelines be two, three or five years?</w:t>
            </w:r>
          </w:p>
        </w:tc>
      </w:tr>
      <w:tr w:rsidR="001D1DE8" w:rsidRPr="001D1DE8">
        <w:tc>
          <w:tcPr>
            <w:tcW w:w="5000" w:type="pct"/>
          </w:tcPr>
          <w:p w:rsidR="001D1DE8" w:rsidRPr="001D1DE8" w:rsidRDefault="0013786E" w:rsidP="00561099">
            <w:pPr>
              <w:pStyle w:val="AHPRAtabletext"/>
              <w:rPr>
                <w:lang w:val="en-AU"/>
              </w:rPr>
            </w:pPr>
            <w:r>
              <w:rPr>
                <w:lang w:val="en-AU"/>
              </w:rPr>
              <w:t>Three years.</w:t>
            </w:r>
          </w:p>
          <w:p w:rsidR="001D1DE8" w:rsidRPr="001D1DE8" w:rsidRDefault="001D1DE8" w:rsidP="00561099">
            <w:pPr>
              <w:pStyle w:val="AHPRAtabletext"/>
              <w:rPr>
                <w:lang w:val="en-AU"/>
              </w:rPr>
            </w:pPr>
          </w:p>
          <w:p w:rsidR="001D1DE8" w:rsidRPr="001D1DE8" w:rsidRDefault="001D1DE8" w:rsidP="00561099">
            <w:pPr>
              <w:pStyle w:val="AHPRAtabletext"/>
              <w:rPr>
                <w:lang w:val="en-AU"/>
              </w:rPr>
            </w:pPr>
          </w:p>
        </w:tc>
      </w:tr>
      <w:tr w:rsidR="001D1DE8" w:rsidRPr="001D1DE8">
        <w:tc>
          <w:tcPr>
            <w:tcW w:w="5000" w:type="pct"/>
            <w:shd w:val="clear" w:color="auto" w:fill="DAEEF3" w:themeFill="accent5" w:themeFillTint="33"/>
          </w:tcPr>
          <w:p w:rsidR="001D1DE8" w:rsidRPr="001D1DE8" w:rsidRDefault="00E91B49" w:rsidP="00561099">
            <w:pPr>
              <w:pStyle w:val="AHPRANumberedlistlevel1"/>
              <w:rPr>
                <w:lang w:val="en-AU"/>
              </w:rPr>
            </w:pPr>
            <w:r>
              <w:t>Do you have any other comments on the draft guideline?</w:t>
            </w:r>
          </w:p>
        </w:tc>
      </w:tr>
      <w:tr w:rsidR="001D1DE8" w:rsidRPr="001D1DE8">
        <w:tc>
          <w:tcPr>
            <w:tcW w:w="5000" w:type="pct"/>
          </w:tcPr>
          <w:p w:rsidR="001D1DE8" w:rsidRPr="001D1DE8" w:rsidRDefault="001D1DE8" w:rsidP="00561099">
            <w:pPr>
              <w:pStyle w:val="AHPRAtabletext"/>
              <w:rPr>
                <w:lang w:val="en-AU"/>
              </w:rPr>
            </w:pPr>
          </w:p>
          <w:p w:rsidR="001D1DE8" w:rsidRPr="001D1DE8" w:rsidRDefault="0013786E" w:rsidP="00561099">
            <w:pPr>
              <w:pStyle w:val="AHPRAtabletext"/>
              <w:rPr>
                <w:lang w:val="en-AU"/>
              </w:rPr>
            </w:pPr>
            <w:r>
              <w:rPr>
                <w:lang w:val="en-AU"/>
              </w:rPr>
              <w:t>Thank you for the opportunity to comment.</w:t>
            </w:r>
          </w:p>
          <w:p w:rsidR="001D1DE8" w:rsidRPr="001D1DE8" w:rsidRDefault="001D1DE8" w:rsidP="00561099">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FA" w:rsidRDefault="00B76FFA" w:rsidP="00FC2881">
      <w:r>
        <w:separator/>
      </w:r>
    </w:p>
    <w:p w:rsidR="00B76FFA" w:rsidRDefault="00B76FFA"/>
  </w:endnote>
  <w:endnote w:type="continuationSeparator" w:id="0">
    <w:p w:rsidR="00B76FFA" w:rsidRDefault="00B76FFA" w:rsidP="00FC2881">
      <w:r>
        <w:continuationSeparator/>
      </w:r>
    </w:p>
    <w:p w:rsidR="00B76FFA" w:rsidRDefault="00B76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FA" w:rsidRDefault="00AD035B" w:rsidP="00FC2881">
    <w:pPr>
      <w:pStyle w:val="AHPRAfootnote"/>
      <w:framePr w:wrap="around" w:vAnchor="text" w:hAnchor="margin" w:xAlign="right" w:y="1"/>
    </w:pPr>
    <w:r>
      <w:fldChar w:fldCharType="begin"/>
    </w:r>
    <w:r w:rsidR="00B76FFA">
      <w:instrText xml:space="preserve">PAGE  </w:instrText>
    </w:r>
    <w:r>
      <w:fldChar w:fldCharType="end"/>
    </w:r>
  </w:p>
  <w:p w:rsidR="00B76FFA" w:rsidRDefault="00B76FFA" w:rsidP="00FC2881">
    <w:pPr>
      <w:pStyle w:val="AHPRAfootnote"/>
      <w:ind w:right="360"/>
    </w:pPr>
  </w:p>
  <w:p w:rsidR="00B76FFA" w:rsidRDefault="00B76F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FA" w:rsidRPr="000E7E28" w:rsidRDefault="00B76FFA" w:rsidP="000E5DE0">
    <w:pPr>
      <w:pStyle w:val="AHPRAfooter"/>
      <w:tabs>
        <w:tab w:val="right" w:pos="9498"/>
      </w:tabs>
    </w:pPr>
    <w:r>
      <w:rPr>
        <w:szCs w:val="16"/>
      </w:rPr>
      <w:t>Chinese Medicine Board of Australia - Public consultation on draft guidelines for safe Chinese herbal medicine practice</w:t>
    </w:r>
    <w:r>
      <w:rPr>
        <w:szCs w:val="16"/>
      </w:rPr>
      <w:br/>
    </w:r>
    <w:r>
      <w:rPr>
        <w:szCs w:val="16"/>
      </w:rPr>
      <w:tab/>
    </w:r>
    <w:sdt>
      <w:sdtPr>
        <w:id w:val="18143575"/>
        <w:docPartObj>
          <w:docPartGallery w:val="Page Numbers (Top of Page)"/>
          <w:docPartUnique/>
        </w:docPartObj>
      </w:sdtPr>
      <w:sdtEndPr/>
      <w:sdtContent>
        <w:r w:rsidRPr="000E7E28">
          <w:t xml:space="preserve">Page </w:t>
        </w:r>
        <w:r w:rsidR="002B6CD5">
          <w:fldChar w:fldCharType="begin"/>
        </w:r>
        <w:r w:rsidR="002B6CD5">
          <w:instrText xml:space="preserve"> PAGE </w:instrText>
        </w:r>
        <w:r w:rsidR="002B6CD5">
          <w:fldChar w:fldCharType="separate"/>
        </w:r>
        <w:r w:rsidR="002B6CD5">
          <w:rPr>
            <w:noProof/>
          </w:rPr>
          <w:t>4</w:t>
        </w:r>
        <w:r w:rsidR="002B6CD5">
          <w:rPr>
            <w:noProof/>
          </w:rPr>
          <w:fldChar w:fldCharType="end"/>
        </w:r>
        <w:r w:rsidRPr="000E7E28">
          <w:t xml:space="preserve"> of </w:t>
        </w:r>
        <w:r w:rsidR="002B6CD5">
          <w:fldChar w:fldCharType="begin"/>
        </w:r>
        <w:r w:rsidR="002B6CD5">
          <w:instrText xml:space="preserve"> NUMPAGES  </w:instrText>
        </w:r>
        <w:r w:rsidR="002B6CD5">
          <w:fldChar w:fldCharType="separate"/>
        </w:r>
        <w:r w:rsidR="002B6CD5">
          <w:rPr>
            <w:noProof/>
          </w:rPr>
          <w:t>4</w:t>
        </w:r>
        <w:r w:rsidR="002B6CD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FA" w:rsidRPr="00E77E23" w:rsidRDefault="00B76FFA" w:rsidP="00E77E23">
    <w:pPr>
      <w:pStyle w:val="AHPRAfirstpagefooter"/>
    </w:pPr>
    <w:r>
      <w:rPr>
        <w:color w:val="007DC3"/>
      </w:rPr>
      <w:t>Chinese Medicine</w:t>
    </w:r>
    <w:r w:rsidRPr="00E77E23">
      <w:t xml:space="preserve"> </w:t>
    </w:r>
    <w:r>
      <w:t>Board of Australia</w:t>
    </w:r>
  </w:p>
  <w:p w:rsidR="00B76FFA" w:rsidRDefault="00B76FFA"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FA" w:rsidRDefault="00B76FFA" w:rsidP="000E7E28">
      <w:r>
        <w:separator/>
      </w:r>
    </w:p>
  </w:footnote>
  <w:footnote w:type="continuationSeparator" w:id="0">
    <w:p w:rsidR="00B76FFA" w:rsidRDefault="00B76FFA" w:rsidP="00FC2881">
      <w:r>
        <w:continuationSeparator/>
      </w:r>
    </w:p>
    <w:p w:rsidR="00B76FFA" w:rsidRDefault="00B76FFA"/>
  </w:footnote>
  <w:footnote w:type="continuationNotice" w:id="1">
    <w:p w:rsidR="00B76FFA" w:rsidRDefault="00B76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FA" w:rsidRPr="00315933" w:rsidRDefault="00B76FFA" w:rsidP="001F25BA">
    <w:pPr>
      <w:ind w:right="-567"/>
    </w:pPr>
  </w:p>
  <w:p w:rsidR="00B76FFA" w:rsidRDefault="00B76F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FA" w:rsidRDefault="00B76FFA"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B76FFA" w:rsidRDefault="00B76FFA" w:rsidP="00E844A0"/>
  <w:p w:rsidR="00B76FFA" w:rsidRDefault="00B76FFA" w:rsidP="00E844A0"/>
  <w:p w:rsidR="00B76FFA" w:rsidRDefault="00B76FFA" w:rsidP="00E844A0"/>
  <w:p w:rsidR="00B76FFA" w:rsidRDefault="00B76FFA" w:rsidP="00E844A0"/>
  <w:p w:rsidR="00B76FFA" w:rsidRDefault="00B76FFA" w:rsidP="009226B7">
    <w:pPr>
      <w:tabs>
        <w:tab w:val="left" w:pos="3667"/>
      </w:tabs>
    </w:pPr>
    <w:r>
      <w:tab/>
    </w:r>
  </w:p>
  <w:p w:rsidR="00B76FFA" w:rsidRDefault="00B76FF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abstractNum w:abstractNumId="17">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5"/>
  </w:num>
  <w:num w:numId="10">
    <w:abstractNumId w:val="10"/>
  </w:num>
  <w:num w:numId="11">
    <w:abstractNumId w:val="3"/>
  </w:num>
  <w:num w:numId="12">
    <w:abstractNumId w:val="14"/>
  </w:num>
  <w:num w:numId="13">
    <w:abstractNumId w:val="16"/>
  </w:num>
  <w:num w:numId="14">
    <w:abstractNumId w:val="12"/>
  </w:num>
  <w:num w:numId="15">
    <w:abstractNumId w:val="11"/>
  </w:num>
  <w:num w:numId="16">
    <w:abstractNumId w:val="17"/>
  </w:num>
  <w:num w:numId="17">
    <w:abstractNumId w:val="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24411"/>
    <w:rsid w:val="000334D7"/>
    <w:rsid w:val="00052A2D"/>
    <w:rsid w:val="00057325"/>
    <w:rsid w:val="00071439"/>
    <w:rsid w:val="00086B76"/>
    <w:rsid w:val="000945FB"/>
    <w:rsid w:val="000A6BF7"/>
    <w:rsid w:val="000A7E84"/>
    <w:rsid w:val="000E5DE0"/>
    <w:rsid w:val="000E7E28"/>
    <w:rsid w:val="000F5D90"/>
    <w:rsid w:val="0010139F"/>
    <w:rsid w:val="0011169E"/>
    <w:rsid w:val="0013786E"/>
    <w:rsid w:val="00143CC2"/>
    <w:rsid w:val="00144DEF"/>
    <w:rsid w:val="001506FE"/>
    <w:rsid w:val="001765D0"/>
    <w:rsid w:val="001A27D5"/>
    <w:rsid w:val="001C425C"/>
    <w:rsid w:val="001D1DE8"/>
    <w:rsid w:val="001E1E31"/>
    <w:rsid w:val="001E2849"/>
    <w:rsid w:val="001E4A94"/>
    <w:rsid w:val="001E5621"/>
    <w:rsid w:val="001F0AFD"/>
    <w:rsid w:val="001F25BA"/>
    <w:rsid w:val="00220A3B"/>
    <w:rsid w:val="00224708"/>
    <w:rsid w:val="00262AB6"/>
    <w:rsid w:val="0028013F"/>
    <w:rsid w:val="00285C3E"/>
    <w:rsid w:val="00291928"/>
    <w:rsid w:val="00295B44"/>
    <w:rsid w:val="002965C8"/>
    <w:rsid w:val="002B2D48"/>
    <w:rsid w:val="002B6CD5"/>
    <w:rsid w:val="002C08FB"/>
    <w:rsid w:val="002C34EA"/>
    <w:rsid w:val="002C75E0"/>
    <w:rsid w:val="002F4DD8"/>
    <w:rsid w:val="00303BE1"/>
    <w:rsid w:val="00305AFC"/>
    <w:rsid w:val="003354E4"/>
    <w:rsid w:val="00353D8A"/>
    <w:rsid w:val="00354AC1"/>
    <w:rsid w:val="003560A9"/>
    <w:rsid w:val="003660E4"/>
    <w:rsid w:val="003709A4"/>
    <w:rsid w:val="0038620E"/>
    <w:rsid w:val="003A4400"/>
    <w:rsid w:val="003D6DBD"/>
    <w:rsid w:val="003E00B5"/>
    <w:rsid w:val="003E3268"/>
    <w:rsid w:val="003E5071"/>
    <w:rsid w:val="003F2F06"/>
    <w:rsid w:val="00405C0A"/>
    <w:rsid w:val="00414F2C"/>
    <w:rsid w:val="004419BB"/>
    <w:rsid w:val="00441F7D"/>
    <w:rsid w:val="004452A7"/>
    <w:rsid w:val="00450B34"/>
    <w:rsid w:val="004606A7"/>
    <w:rsid w:val="00461C91"/>
    <w:rsid w:val="00485007"/>
    <w:rsid w:val="0049279C"/>
    <w:rsid w:val="004A1BB1"/>
    <w:rsid w:val="004A5E5D"/>
    <w:rsid w:val="004B747B"/>
    <w:rsid w:val="004D7537"/>
    <w:rsid w:val="004F4C40"/>
    <w:rsid w:val="004F5C05"/>
    <w:rsid w:val="004F75DE"/>
    <w:rsid w:val="0053063E"/>
    <w:rsid w:val="00536208"/>
    <w:rsid w:val="0053749F"/>
    <w:rsid w:val="00553A4C"/>
    <w:rsid w:val="00554335"/>
    <w:rsid w:val="005565CE"/>
    <w:rsid w:val="00556F77"/>
    <w:rsid w:val="00561099"/>
    <w:rsid w:val="005655AC"/>
    <w:rsid w:val="005708AE"/>
    <w:rsid w:val="005A0FA9"/>
    <w:rsid w:val="005C5932"/>
    <w:rsid w:val="005C6817"/>
    <w:rsid w:val="00613A61"/>
    <w:rsid w:val="00616043"/>
    <w:rsid w:val="00640B2C"/>
    <w:rsid w:val="00667CAD"/>
    <w:rsid w:val="00681D5E"/>
    <w:rsid w:val="006C0257"/>
    <w:rsid w:val="006C0E29"/>
    <w:rsid w:val="006D30FE"/>
    <w:rsid w:val="006D3757"/>
    <w:rsid w:val="006F7348"/>
    <w:rsid w:val="006F796D"/>
    <w:rsid w:val="0070155F"/>
    <w:rsid w:val="0070795B"/>
    <w:rsid w:val="007241DF"/>
    <w:rsid w:val="007372A4"/>
    <w:rsid w:val="00741B04"/>
    <w:rsid w:val="007432A4"/>
    <w:rsid w:val="007462A8"/>
    <w:rsid w:val="0076115C"/>
    <w:rsid w:val="007664F3"/>
    <w:rsid w:val="0079197C"/>
    <w:rsid w:val="007A35B9"/>
    <w:rsid w:val="007B77D6"/>
    <w:rsid w:val="007C0B6E"/>
    <w:rsid w:val="007C333B"/>
    <w:rsid w:val="007C68E4"/>
    <w:rsid w:val="007D4836"/>
    <w:rsid w:val="007E2C84"/>
    <w:rsid w:val="007E3545"/>
    <w:rsid w:val="007F0095"/>
    <w:rsid w:val="0081123A"/>
    <w:rsid w:val="008338F7"/>
    <w:rsid w:val="00836397"/>
    <w:rsid w:val="00845054"/>
    <w:rsid w:val="00852D1C"/>
    <w:rsid w:val="00856147"/>
    <w:rsid w:val="00860F40"/>
    <w:rsid w:val="008615C9"/>
    <w:rsid w:val="00864020"/>
    <w:rsid w:val="00877659"/>
    <w:rsid w:val="008979D5"/>
    <w:rsid w:val="008A4C3B"/>
    <w:rsid w:val="008B2AD7"/>
    <w:rsid w:val="008C0C86"/>
    <w:rsid w:val="008C53F0"/>
    <w:rsid w:val="008D68B3"/>
    <w:rsid w:val="008D6B7E"/>
    <w:rsid w:val="008D7845"/>
    <w:rsid w:val="009226B7"/>
    <w:rsid w:val="00923B23"/>
    <w:rsid w:val="00937B4E"/>
    <w:rsid w:val="00937ED0"/>
    <w:rsid w:val="00952797"/>
    <w:rsid w:val="00964D11"/>
    <w:rsid w:val="009673A4"/>
    <w:rsid w:val="0097049B"/>
    <w:rsid w:val="009777D3"/>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C42"/>
    <w:rsid w:val="00A9516B"/>
    <w:rsid w:val="00A957DE"/>
    <w:rsid w:val="00A9780A"/>
    <w:rsid w:val="00AA00AF"/>
    <w:rsid w:val="00AA1DE1"/>
    <w:rsid w:val="00AA2FC9"/>
    <w:rsid w:val="00AB283D"/>
    <w:rsid w:val="00AD035B"/>
    <w:rsid w:val="00AD312E"/>
    <w:rsid w:val="00AD4B09"/>
    <w:rsid w:val="00AE3EAF"/>
    <w:rsid w:val="00B024B0"/>
    <w:rsid w:val="00B17E39"/>
    <w:rsid w:val="00B34EDA"/>
    <w:rsid w:val="00B41762"/>
    <w:rsid w:val="00B51748"/>
    <w:rsid w:val="00B57198"/>
    <w:rsid w:val="00B6504A"/>
    <w:rsid w:val="00B76FFA"/>
    <w:rsid w:val="00B85023"/>
    <w:rsid w:val="00B93462"/>
    <w:rsid w:val="00BA2456"/>
    <w:rsid w:val="00BA261B"/>
    <w:rsid w:val="00BA42D7"/>
    <w:rsid w:val="00BA469B"/>
    <w:rsid w:val="00BB4A5B"/>
    <w:rsid w:val="00BB674E"/>
    <w:rsid w:val="00BC5E94"/>
    <w:rsid w:val="00BF2534"/>
    <w:rsid w:val="00BF79DC"/>
    <w:rsid w:val="00C121CB"/>
    <w:rsid w:val="00C35DE1"/>
    <w:rsid w:val="00C3795C"/>
    <w:rsid w:val="00C524AA"/>
    <w:rsid w:val="00C54689"/>
    <w:rsid w:val="00C81B3A"/>
    <w:rsid w:val="00CB26F9"/>
    <w:rsid w:val="00CB6C08"/>
    <w:rsid w:val="00CD0DCA"/>
    <w:rsid w:val="00CE1FC4"/>
    <w:rsid w:val="00CF6879"/>
    <w:rsid w:val="00D116A4"/>
    <w:rsid w:val="00D12F61"/>
    <w:rsid w:val="00D201C6"/>
    <w:rsid w:val="00D36BEE"/>
    <w:rsid w:val="00D638E0"/>
    <w:rsid w:val="00D667D0"/>
    <w:rsid w:val="00D716BA"/>
    <w:rsid w:val="00D7629D"/>
    <w:rsid w:val="00D8404D"/>
    <w:rsid w:val="00DC2952"/>
    <w:rsid w:val="00DC5D89"/>
    <w:rsid w:val="00DF1AB7"/>
    <w:rsid w:val="00DF214A"/>
    <w:rsid w:val="00E07B87"/>
    <w:rsid w:val="00E07C02"/>
    <w:rsid w:val="00E12B06"/>
    <w:rsid w:val="00E15BF6"/>
    <w:rsid w:val="00E71CB9"/>
    <w:rsid w:val="00E73698"/>
    <w:rsid w:val="00E77E23"/>
    <w:rsid w:val="00E8251C"/>
    <w:rsid w:val="00E844A0"/>
    <w:rsid w:val="00E91B49"/>
    <w:rsid w:val="00E9536B"/>
    <w:rsid w:val="00EC7633"/>
    <w:rsid w:val="00EF55F8"/>
    <w:rsid w:val="00F05750"/>
    <w:rsid w:val="00F13ED2"/>
    <w:rsid w:val="00F27ACB"/>
    <w:rsid w:val="00F3616F"/>
    <w:rsid w:val="00F6618F"/>
    <w:rsid w:val="00F70DD5"/>
    <w:rsid w:val="00F73165"/>
    <w:rsid w:val="00F90BCE"/>
    <w:rsid w:val="00FC2881"/>
    <w:rsid w:val="00FD7DC1"/>
    <w:rsid w:val="00FE02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AutoShape 3"/>
      </o:rules>
    </o:shapelayout>
  </w:shapeDefaults>
  <w:decimalSymbol w:val="."/>
  <w:listSeparator w:val=","/>
  <w15:docId w15:val="{E7517E23-DC85-4099-9F9F-68C712F9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 w:unhideWhenUsed="1" w:qFormat="1"/>
    <w:lsdException w:name="Intense Emphasis" w:uiPriority="21" w:qFormat="1"/>
    <w:lsdException w:name="Subtle Reference" w:semiHidden="1" w:uiPriority="1" w:unhideWhenUsed="1" w:qFormat="1"/>
    <w:lsdException w:name="Intense Reference" w:semiHidden="1" w:uiPriority="1" w:unhideWhenUsed="1" w:qFormat="1"/>
    <w:lsdException w:name="Book Title" w:semiHidden="1" w:uiPriority="99" w:unhideWhenUsed="1"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460E-6099-4184-A26D-036D0830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10208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2014-10-08T23:15:00Z</cp:lastPrinted>
  <dcterms:created xsi:type="dcterms:W3CDTF">2014-10-08T23:15:00Z</dcterms:created>
  <dcterms:modified xsi:type="dcterms:W3CDTF">2014-10-08T23:15:00Z</dcterms:modified>
</cp:coreProperties>
</file>