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88" w:rsidRPr="00ED6B66" w:rsidRDefault="00EC6D88" w:rsidP="000658E4">
      <w:pPr>
        <w:pStyle w:val="AHPRADocumenttitle"/>
        <w:spacing w:before="0"/>
      </w:pPr>
    </w:p>
    <w:p w:rsidR="00EC6D88" w:rsidRPr="00550C45" w:rsidRDefault="00B2352C" w:rsidP="000658E4">
      <w:pPr>
        <w:pStyle w:val="AHPRADocumenttitle"/>
        <w:spacing w:before="0"/>
        <w:rPr>
          <w:highlight w:val="yellow"/>
        </w:rPr>
      </w:pPr>
      <w:r w:rsidRPr="00550C45">
        <w:rPr>
          <w:noProof/>
          <w:highlight w:val="yellow"/>
          <w:lang w:eastAsia="en-AU"/>
        </w:rPr>
        <w:drawing>
          <wp:anchor distT="0" distB="0" distL="114300" distR="114300" simplePos="0" relativeHeight="251664384" behindDoc="0" locked="0" layoutInCell="1" allowOverlap="1">
            <wp:simplePos x="0" y="0"/>
            <wp:positionH relativeFrom="margin">
              <wp:posOffset>4757496</wp:posOffset>
            </wp:positionH>
            <wp:positionV relativeFrom="margin">
              <wp:posOffset>-435432</wp:posOffset>
            </wp:positionV>
            <wp:extent cx="1462126" cy="1316736"/>
            <wp:effectExtent l="0" t="0" r="0" b="0"/>
            <wp:wrapSquare wrapText="bothSides"/>
            <wp:docPr id="3" name="Picture 0" descr="Chinese Medicine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rsidR="00EC6D88" w:rsidRPr="00550C45" w:rsidRDefault="00EC6D88" w:rsidP="000658E4">
      <w:pPr>
        <w:pStyle w:val="AHPRADocumenttitle"/>
        <w:spacing w:before="0"/>
        <w:rPr>
          <w:highlight w:val="yellow"/>
        </w:rPr>
      </w:pPr>
    </w:p>
    <w:p w:rsidR="000658E4" w:rsidRPr="0021661C" w:rsidRDefault="00B66EFF" w:rsidP="000658E4">
      <w:pPr>
        <w:pStyle w:val="AHPRADocumenttitle"/>
        <w:spacing w:before="0"/>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214.2pt;margin-top:26.65pt;width:581.1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wv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uJguVqsF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500ICd8AAAAKAQAADwAAAGRycy9kb3ducmV2LnhtbEyPwU7CQBCG&#10;7yS8w2ZMuBDY0oJi7ZYQEw8eBRKvS3dsq93Zprullad3jAc8zsyXf74/2422ERfsfO1IwWoZgUAq&#10;nKmpVHA6viy2IHzQZHTjCBV8o4ddPp1kOjVuoDe8HEIpOIR8qhVUIbSplL6o0Gq/dC0S3z5cZ3Xg&#10;sSul6fTA4baRcRTdS6tr4g+VbvG5wuLr0FsF6PvNKto/2vL0eh3m7/H1c2iPSs3uxv0TiIBjuMHw&#10;q8/qkLPT2fVkvGgULNbxds2sgk2SgGDiIUm4zPlvIfNM/q+Q/wAAAP//AwBQSwECLQAUAAYACAAA&#10;ACEAtoM4kv4AAADhAQAAEwAAAAAAAAAAAAAAAAAAAAAAW0NvbnRlbnRfVHlwZXNdLnhtbFBLAQIt&#10;ABQABgAIAAAAIQA4/SH/1gAAAJQBAAALAAAAAAAAAAAAAAAAAC8BAABfcmVscy8ucmVsc1BLAQIt&#10;ABQABgAIAAAAIQCNvwwvHgIAADsEAAAOAAAAAAAAAAAAAAAAAC4CAABkcnMvZTJvRG9jLnhtbFBL&#10;AQItABQABgAIAAAAIQDnTQgJ3wAAAAoBAAAPAAAAAAAAAAAAAAAAAHgEAABkcnMvZG93bnJldi54&#10;bWxQSwUGAAAAAAQABADzAAAAhAUAAAAA&#10;"/>
        </w:pict>
      </w:r>
      <w:r w:rsidR="000658E4" w:rsidRPr="0021661C">
        <w:t>Communiqué</w:t>
      </w:r>
      <w:r w:rsidR="00791057" w:rsidRPr="0021661C">
        <w:t xml:space="preserve">: </w:t>
      </w:r>
      <w:r w:rsidR="00FA0FCE" w:rsidRPr="0021661C">
        <w:t>Chinese Medicine Board of Australia</w:t>
      </w:r>
    </w:p>
    <w:p w:rsidR="0064705B" w:rsidRPr="0021661C" w:rsidRDefault="0064705B" w:rsidP="004F441A">
      <w:pPr>
        <w:pStyle w:val="AHPRADocumentsubheading"/>
        <w:spacing w:after="120"/>
      </w:pPr>
      <w:r w:rsidRPr="0021661C">
        <w:rPr>
          <w:rFonts w:eastAsia="Times New Roman"/>
          <w:color w:val="000000"/>
        </w:rPr>
        <w:br/>
      </w:r>
      <w:r w:rsidR="0021661C" w:rsidRPr="0021661C">
        <w:t>June</w:t>
      </w:r>
      <w:r w:rsidR="00433692" w:rsidRPr="0021661C">
        <w:t xml:space="preserve"> 2017</w:t>
      </w:r>
      <w:r w:rsidRPr="0021661C">
        <w:t xml:space="preserve"> meeting</w:t>
      </w:r>
    </w:p>
    <w:p w:rsidR="00596981" w:rsidRPr="0021661C" w:rsidRDefault="006A50C5" w:rsidP="00F04C53">
      <w:pPr>
        <w:pStyle w:val="AHPRAbody"/>
      </w:pPr>
      <w:r w:rsidRPr="0021661C">
        <w:t>The 6</w:t>
      </w:r>
      <w:r w:rsidR="0021661C" w:rsidRPr="0021661C">
        <w:t>5</w:t>
      </w:r>
      <w:r w:rsidR="006108CB" w:rsidRPr="0021661C">
        <w:rPr>
          <w:vertAlign w:val="superscript"/>
        </w:rPr>
        <w:t>th</w:t>
      </w:r>
      <w:r w:rsidR="006108CB" w:rsidRPr="0021661C">
        <w:t xml:space="preserve"> </w:t>
      </w:r>
      <w:r w:rsidR="00555364" w:rsidRPr="0021661C">
        <w:t xml:space="preserve">meeting of the Chinese Medicine Board of Australia (the Board) was held on </w:t>
      </w:r>
      <w:r w:rsidR="00C64B4B">
        <w:t>27 June</w:t>
      </w:r>
      <w:r w:rsidR="00433692" w:rsidRPr="0021661C">
        <w:t xml:space="preserve"> 2017</w:t>
      </w:r>
      <w:r w:rsidR="00555364" w:rsidRPr="0021661C">
        <w:t xml:space="preserve"> in</w:t>
      </w:r>
      <w:r w:rsidR="000F5C65" w:rsidRPr="0021661C">
        <w:t> </w:t>
      </w:r>
      <w:r w:rsidR="00555364" w:rsidRPr="0021661C">
        <w:t>Melbourne.</w:t>
      </w:r>
      <w:r w:rsidR="0021661C">
        <w:t xml:space="preserve"> The Board did not hold a meeting in May </w:t>
      </w:r>
      <w:r w:rsidR="00D84DA2">
        <w:t xml:space="preserve">2017 </w:t>
      </w:r>
      <w:r w:rsidR="0021661C">
        <w:t>as it was visiting its regulatory colleagues in China.</w:t>
      </w:r>
      <w:r w:rsidR="00D84DA2">
        <w:t xml:space="preserve"> </w:t>
      </w:r>
      <w:bookmarkStart w:id="0" w:name="_GoBack"/>
      <w:bookmarkEnd w:id="0"/>
    </w:p>
    <w:p w:rsidR="00071003" w:rsidRDefault="005D332D" w:rsidP="00F04C53">
      <w:pPr>
        <w:pStyle w:val="AHPRAbody"/>
      </w:pPr>
      <w:r w:rsidRPr="0016474A">
        <w:t xml:space="preserve">This communiqué provides key decisions made at the meeting. It is also published on the Board’s </w:t>
      </w:r>
      <w:hyperlink r:id="rId9" w:history="1">
        <w:r w:rsidRPr="0016474A">
          <w:t>website</w:t>
        </w:r>
      </w:hyperlink>
      <w:r w:rsidRPr="0016474A">
        <w:t xml:space="preserve"> and an announcement via email is sent to a broad range of stakeholders. Please forward the communiqué to colleagues who may be interested in the </w:t>
      </w:r>
      <w:r w:rsidR="00AB2363" w:rsidRPr="0016474A">
        <w:t xml:space="preserve">Board’s </w:t>
      </w:r>
      <w:r w:rsidRPr="0016474A">
        <w:t>work.</w:t>
      </w:r>
    </w:p>
    <w:p w:rsidR="006A3324" w:rsidRPr="006A3324" w:rsidRDefault="006A3324" w:rsidP="006A3324">
      <w:pPr>
        <w:pStyle w:val="AHPRASubheading"/>
        <w:rPr>
          <w:rFonts w:cs="Arial"/>
          <w:szCs w:val="20"/>
        </w:rPr>
      </w:pPr>
      <w:r w:rsidRPr="006A3324">
        <w:rPr>
          <w:rFonts w:cs="Arial"/>
          <w:szCs w:val="20"/>
        </w:rPr>
        <w:t xml:space="preserve">Board member terms were due to expire on 30 June 2017 </w:t>
      </w:r>
    </w:p>
    <w:p w:rsidR="004F58CA" w:rsidRDefault="004F58CA" w:rsidP="004F58CA">
      <w:pPr>
        <w:pStyle w:val="Default"/>
        <w:rPr>
          <w:sz w:val="20"/>
          <w:szCs w:val="20"/>
          <w:lang w:val="en-US"/>
        </w:rPr>
      </w:pPr>
      <w:r w:rsidRPr="004F58CA">
        <w:rPr>
          <w:sz w:val="20"/>
          <w:szCs w:val="20"/>
          <w:lang w:val="en-US"/>
        </w:rPr>
        <w:t>The process for enabling the Australian Health Workforce Ministerial Council to make the appointment decisions is progressing as quickly as possible</w:t>
      </w:r>
      <w:r w:rsidR="00542B52">
        <w:rPr>
          <w:sz w:val="20"/>
          <w:szCs w:val="20"/>
          <w:lang w:val="en-US"/>
        </w:rPr>
        <w:t>.</w:t>
      </w:r>
      <w:r w:rsidR="00C52588">
        <w:rPr>
          <w:sz w:val="20"/>
          <w:szCs w:val="20"/>
          <w:lang w:val="en-US"/>
        </w:rPr>
        <w:t xml:space="preserve"> </w:t>
      </w:r>
      <w:r w:rsidR="00542B52">
        <w:rPr>
          <w:sz w:val="20"/>
          <w:szCs w:val="20"/>
          <w:lang w:val="en-US"/>
        </w:rPr>
        <w:t>D</w:t>
      </w:r>
      <w:r w:rsidRPr="004F58CA">
        <w:rPr>
          <w:sz w:val="20"/>
          <w:szCs w:val="20"/>
          <w:lang w:val="en-US"/>
        </w:rPr>
        <w:t xml:space="preserve">espite best efforts, Ministers </w:t>
      </w:r>
      <w:r>
        <w:rPr>
          <w:sz w:val="20"/>
          <w:szCs w:val="20"/>
          <w:lang w:val="en-US"/>
        </w:rPr>
        <w:t xml:space="preserve">were </w:t>
      </w:r>
      <w:r w:rsidRPr="004F58CA">
        <w:rPr>
          <w:sz w:val="20"/>
          <w:szCs w:val="20"/>
          <w:lang w:val="en-US"/>
        </w:rPr>
        <w:t>not in a position to make a de</w:t>
      </w:r>
      <w:r>
        <w:rPr>
          <w:sz w:val="20"/>
          <w:szCs w:val="20"/>
          <w:lang w:val="en-US"/>
        </w:rPr>
        <w:t>cision before the expiry of the</w:t>
      </w:r>
      <w:r w:rsidRPr="004F58CA">
        <w:rPr>
          <w:sz w:val="20"/>
          <w:szCs w:val="20"/>
          <w:lang w:val="en-US"/>
        </w:rPr>
        <w:t xml:space="preserve"> current term. </w:t>
      </w:r>
      <w:r>
        <w:rPr>
          <w:sz w:val="20"/>
          <w:szCs w:val="20"/>
          <w:lang w:val="en-US"/>
        </w:rPr>
        <w:t xml:space="preserve"> </w:t>
      </w:r>
    </w:p>
    <w:p w:rsidR="004F58CA" w:rsidRDefault="004F58CA" w:rsidP="004F58CA">
      <w:pPr>
        <w:pStyle w:val="Default"/>
        <w:rPr>
          <w:sz w:val="20"/>
          <w:szCs w:val="20"/>
          <w:lang w:val="en-US"/>
        </w:rPr>
      </w:pPr>
    </w:p>
    <w:p w:rsidR="006A3324" w:rsidRPr="004F58CA" w:rsidRDefault="004F58CA" w:rsidP="004F58CA">
      <w:pPr>
        <w:pStyle w:val="Default"/>
        <w:rPr>
          <w:sz w:val="20"/>
          <w:szCs w:val="20"/>
          <w:lang w:val="en-US"/>
        </w:rPr>
      </w:pPr>
      <w:r>
        <w:rPr>
          <w:sz w:val="20"/>
          <w:szCs w:val="20"/>
          <w:lang w:val="en-US"/>
        </w:rPr>
        <w:t xml:space="preserve">Current serving members were </w:t>
      </w:r>
      <w:r w:rsidRPr="004F58CA">
        <w:rPr>
          <w:sz w:val="20"/>
          <w:szCs w:val="20"/>
          <w:lang w:val="en-US"/>
        </w:rPr>
        <w:t>advise</w:t>
      </w:r>
      <w:r>
        <w:rPr>
          <w:sz w:val="20"/>
          <w:szCs w:val="20"/>
          <w:lang w:val="en-US"/>
        </w:rPr>
        <w:t>d</w:t>
      </w:r>
      <w:r w:rsidR="00C52588">
        <w:rPr>
          <w:sz w:val="20"/>
          <w:szCs w:val="20"/>
          <w:lang w:val="en-US"/>
        </w:rPr>
        <w:t xml:space="preserve"> that in accordance with the</w:t>
      </w:r>
      <w:r>
        <w:rPr>
          <w:sz w:val="20"/>
          <w:szCs w:val="20"/>
          <w:lang w:val="en-US"/>
        </w:rPr>
        <w:t xml:space="preserve"> National Law</w:t>
      </w:r>
      <w:r w:rsidR="00254F1F">
        <w:rPr>
          <w:sz w:val="20"/>
          <w:szCs w:val="20"/>
          <w:vertAlign w:val="superscript"/>
          <w:lang w:val="en-US"/>
        </w:rPr>
        <w:t>1</w:t>
      </w:r>
      <w:r>
        <w:rPr>
          <w:sz w:val="20"/>
          <w:szCs w:val="20"/>
          <w:lang w:val="en-US"/>
        </w:rPr>
        <w:t>, their</w:t>
      </w:r>
      <w:r w:rsidRPr="004F58CA">
        <w:rPr>
          <w:sz w:val="20"/>
          <w:szCs w:val="20"/>
          <w:lang w:val="en-US"/>
        </w:rPr>
        <w:t xml:space="preserve"> appointment </w:t>
      </w:r>
      <w:r w:rsidR="00542B52">
        <w:rPr>
          <w:sz w:val="20"/>
          <w:szCs w:val="20"/>
          <w:lang w:val="en-US"/>
        </w:rPr>
        <w:t>will</w:t>
      </w:r>
      <w:r>
        <w:rPr>
          <w:sz w:val="20"/>
          <w:szCs w:val="20"/>
          <w:lang w:val="en-US"/>
        </w:rPr>
        <w:t xml:space="preserve"> automatically continue after the</w:t>
      </w:r>
      <w:r w:rsidRPr="004F58CA">
        <w:rPr>
          <w:sz w:val="20"/>
          <w:szCs w:val="20"/>
          <w:lang w:val="en-US"/>
        </w:rPr>
        <w:t xml:space="preserve"> scheduled expiry for a period of up to </w:t>
      </w:r>
      <w:r w:rsidR="00542B52">
        <w:rPr>
          <w:sz w:val="20"/>
          <w:szCs w:val="20"/>
          <w:lang w:val="en-US"/>
        </w:rPr>
        <w:t>six</w:t>
      </w:r>
      <w:r w:rsidR="00542B52" w:rsidRPr="004F58CA">
        <w:rPr>
          <w:sz w:val="20"/>
          <w:szCs w:val="20"/>
          <w:lang w:val="en-US"/>
        </w:rPr>
        <w:t xml:space="preserve"> </w:t>
      </w:r>
      <w:r w:rsidRPr="004F58CA">
        <w:rPr>
          <w:sz w:val="20"/>
          <w:szCs w:val="20"/>
          <w:lang w:val="en-US"/>
        </w:rPr>
        <w:t xml:space="preserve">months, until </w:t>
      </w:r>
      <w:r>
        <w:rPr>
          <w:sz w:val="20"/>
          <w:szCs w:val="20"/>
          <w:lang w:val="en-US"/>
        </w:rPr>
        <w:t>the Ministerial Council makes</w:t>
      </w:r>
      <w:r w:rsidRPr="004F58CA">
        <w:rPr>
          <w:sz w:val="20"/>
          <w:szCs w:val="20"/>
          <w:lang w:val="en-US"/>
        </w:rPr>
        <w:t xml:space="preserve"> appointment decision</w:t>
      </w:r>
      <w:r>
        <w:rPr>
          <w:sz w:val="20"/>
          <w:szCs w:val="20"/>
          <w:lang w:val="en-US"/>
        </w:rPr>
        <w:t>s</w:t>
      </w:r>
      <w:r w:rsidRPr="004F58CA">
        <w:rPr>
          <w:sz w:val="20"/>
          <w:szCs w:val="20"/>
          <w:lang w:val="en-US"/>
        </w:rPr>
        <w:t>.</w:t>
      </w:r>
    </w:p>
    <w:p w:rsidR="00A22D7B" w:rsidRDefault="00A22D7B" w:rsidP="00A22D7B">
      <w:pPr>
        <w:pStyle w:val="AHPRASubheading"/>
        <w:rPr>
          <w:rFonts w:cs="Arial"/>
          <w:szCs w:val="20"/>
        </w:rPr>
      </w:pPr>
      <w:r w:rsidRPr="00D3147B">
        <w:rPr>
          <w:rFonts w:cs="Arial"/>
          <w:szCs w:val="20"/>
        </w:rPr>
        <w:t>Upcoming forum</w:t>
      </w:r>
      <w:r>
        <w:rPr>
          <w:rFonts w:cs="Arial"/>
          <w:szCs w:val="20"/>
        </w:rPr>
        <w:t>s:</w:t>
      </w:r>
      <w:r w:rsidRPr="00D3147B">
        <w:rPr>
          <w:rFonts w:cs="Arial"/>
          <w:szCs w:val="20"/>
        </w:rPr>
        <w:t xml:space="preserve"> invitation for Chinese </w:t>
      </w:r>
      <w:r>
        <w:rPr>
          <w:rFonts w:cs="Arial"/>
          <w:szCs w:val="20"/>
        </w:rPr>
        <w:t>m</w:t>
      </w:r>
      <w:r w:rsidRPr="00D3147B">
        <w:rPr>
          <w:rFonts w:cs="Arial"/>
          <w:szCs w:val="20"/>
        </w:rPr>
        <w:t xml:space="preserve">edicine practitioners, students and stakeholders  </w:t>
      </w:r>
    </w:p>
    <w:p w:rsidR="00A22D7B" w:rsidRPr="00D3147B" w:rsidRDefault="00A22D7B" w:rsidP="00A22D7B">
      <w:pPr>
        <w:pStyle w:val="AHPRAbody"/>
        <w:rPr>
          <w:color w:val="000000" w:themeColor="text1"/>
          <w:szCs w:val="20"/>
        </w:rPr>
      </w:pPr>
      <w:r w:rsidRPr="00D3147B">
        <w:t xml:space="preserve">The </w:t>
      </w:r>
      <w:r>
        <w:t>National Board</w:t>
      </w:r>
      <w:r w:rsidRPr="00D3147B">
        <w:t xml:space="preserve"> </w:t>
      </w:r>
      <w:r>
        <w:t>is</w:t>
      </w:r>
      <w:r w:rsidRPr="00D3147B">
        <w:t xml:space="preserve"> inviting practitioners, students and stakeholders of </w:t>
      </w:r>
      <w:r w:rsidRPr="00D3147B">
        <w:rPr>
          <w:color w:val="000000" w:themeColor="text1"/>
          <w:szCs w:val="20"/>
        </w:rPr>
        <w:t>Chinese medicine to attend information forums being held around Australia.</w:t>
      </w:r>
    </w:p>
    <w:tbl>
      <w:tblPr>
        <w:tblW w:w="5000" w:type="pct"/>
        <w:tblBorders>
          <w:top w:val="single" w:sz="4" w:space="0" w:color="BBBBBB"/>
          <w:left w:val="single" w:sz="4" w:space="0" w:color="BBBBBB"/>
          <w:bottom w:val="single" w:sz="4" w:space="0" w:color="BBBBBB"/>
          <w:right w:val="single" w:sz="4"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1675"/>
        <w:gridCol w:w="5805"/>
        <w:gridCol w:w="2064"/>
      </w:tblGrid>
      <w:tr w:rsidR="00A22D7B" w:rsidRPr="00D3147B" w:rsidTr="005E00F1">
        <w:trPr>
          <w:tblHeader/>
        </w:trPr>
        <w:tc>
          <w:tcPr>
            <w:tcW w:w="0" w:type="auto"/>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D3147B" w:rsidRDefault="00A22D7B" w:rsidP="005E00F1">
            <w:pPr>
              <w:spacing w:after="207"/>
              <w:rPr>
                <w:rFonts w:eastAsia="Times New Roman" w:cs="Arial"/>
                <w:b/>
                <w:bCs/>
                <w:color w:val="000000" w:themeColor="text1"/>
                <w:sz w:val="20"/>
                <w:szCs w:val="20"/>
                <w:lang w:val="en-US"/>
              </w:rPr>
            </w:pPr>
            <w:r w:rsidRPr="00D3147B">
              <w:rPr>
                <w:rFonts w:eastAsia="Times New Roman" w:cs="Arial"/>
                <w:b/>
                <w:bCs/>
                <w:color w:val="000000" w:themeColor="text1"/>
                <w:sz w:val="20"/>
                <w:szCs w:val="20"/>
                <w:lang w:val="en-US"/>
              </w:rPr>
              <w:t>State</w:t>
            </w:r>
          </w:p>
        </w:tc>
        <w:tc>
          <w:tcPr>
            <w:tcW w:w="0" w:type="auto"/>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D3147B" w:rsidRDefault="00A22D7B" w:rsidP="005E00F1">
            <w:pPr>
              <w:spacing w:after="207"/>
              <w:rPr>
                <w:rFonts w:eastAsia="Times New Roman" w:cs="Arial"/>
                <w:b/>
                <w:bCs/>
                <w:color w:val="000000" w:themeColor="text1"/>
                <w:sz w:val="20"/>
                <w:szCs w:val="20"/>
                <w:lang w:val="en-US"/>
              </w:rPr>
            </w:pPr>
            <w:r w:rsidRPr="00D3147B">
              <w:rPr>
                <w:rFonts w:eastAsia="Times New Roman" w:cs="Arial"/>
                <w:b/>
                <w:bCs/>
                <w:color w:val="000000" w:themeColor="text1"/>
                <w:sz w:val="20"/>
                <w:szCs w:val="20"/>
                <w:lang w:val="en-US"/>
              </w:rPr>
              <w:t>Dates </w:t>
            </w:r>
          </w:p>
        </w:tc>
        <w:tc>
          <w:tcPr>
            <w:tcW w:w="0" w:type="auto"/>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D3147B" w:rsidRDefault="00A22D7B" w:rsidP="005E00F1">
            <w:pPr>
              <w:spacing w:after="207"/>
              <w:rPr>
                <w:rFonts w:eastAsia="Times New Roman" w:cs="Arial"/>
                <w:b/>
                <w:bCs/>
                <w:color w:val="000000" w:themeColor="text1"/>
                <w:sz w:val="20"/>
                <w:szCs w:val="20"/>
                <w:lang w:val="en-US"/>
              </w:rPr>
            </w:pPr>
            <w:r w:rsidRPr="00D3147B">
              <w:rPr>
                <w:rFonts w:eastAsia="Times New Roman" w:cs="Arial"/>
                <w:b/>
                <w:bCs/>
                <w:color w:val="000000" w:themeColor="text1"/>
                <w:sz w:val="20"/>
                <w:szCs w:val="20"/>
                <w:lang w:val="en-US"/>
              </w:rPr>
              <w:t>Time</w:t>
            </w:r>
          </w:p>
        </w:tc>
      </w:tr>
      <w:tr w:rsidR="00A22D7B" w:rsidRPr="00D3147B" w:rsidTr="005E00F1">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D3147B" w:rsidRDefault="00A22D7B" w:rsidP="005E00F1">
            <w:pPr>
              <w:spacing w:after="207"/>
              <w:rPr>
                <w:rFonts w:eastAsia="Times New Roman" w:cs="Arial"/>
                <w:color w:val="000000" w:themeColor="text1"/>
                <w:sz w:val="20"/>
                <w:szCs w:val="20"/>
                <w:lang w:val="en-US"/>
              </w:rPr>
            </w:pPr>
            <w:r w:rsidRPr="00D3147B">
              <w:rPr>
                <w:rFonts w:eastAsia="Times New Roman" w:cs="Arial"/>
                <w:b/>
                <w:color w:val="000000" w:themeColor="text1"/>
                <w:sz w:val="20"/>
                <w:szCs w:val="20"/>
                <w:lang w:val="en-US"/>
              </w:rPr>
              <w:t>Melbourne</w:t>
            </w:r>
            <w:r w:rsidRPr="00D3147B">
              <w:rPr>
                <w:rFonts w:eastAsia="Times New Roman" w:cs="Arial"/>
                <w:color w:val="000000" w:themeColor="text1"/>
                <w:sz w:val="20"/>
                <w:szCs w:val="20"/>
                <w:lang w:val="en-US"/>
              </w:rPr>
              <w:t xml:space="preserve"> </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135B23" w:rsidRDefault="00A22D7B" w:rsidP="005E00F1">
            <w:pPr>
              <w:pStyle w:val="AHPRASubheading"/>
              <w:tabs>
                <w:tab w:val="left" w:pos="851"/>
              </w:tabs>
              <w:spacing w:before="0" w:after="120"/>
              <w:ind w:left="851" w:hanging="851"/>
              <w:rPr>
                <w:rFonts w:eastAsia="Times New Roman" w:cs="Arial"/>
                <w:color w:val="000000" w:themeColor="text1"/>
                <w:szCs w:val="20"/>
                <w:lang w:val="en-US"/>
              </w:rPr>
            </w:pPr>
            <w:r w:rsidRPr="00D3147B">
              <w:rPr>
                <w:rFonts w:eastAsia="Times New Roman" w:cs="Arial"/>
                <w:color w:val="000000" w:themeColor="text1"/>
                <w:szCs w:val="20"/>
                <w:lang w:val="en-US"/>
              </w:rPr>
              <w:t>Monday 24 July </w:t>
            </w:r>
          </w:p>
          <w:p w:rsidR="00A22D7B" w:rsidRPr="00FD7B40" w:rsidRDefault="00A22D7B" w:rsidP="005E00F1">
            <w:pPr>
              <w:pStyle w:val="AHPRASubheading"/>
              <w:tabs>
                <w:tab w:val="left" w:pos="851"/>
              </w:tabs>
              <w:spacing w:before="120" w:after="120"/>
              <w:ind w:left="851" w:hanging="851"/>
              <w:rPr>
                <w:b w:val="0"/>
                <w:color w:val="000000" w:themeColor="text1"/>
                <w:szCs w:val="20"/>
                <w:lang w:val="en-GB"/>
              </w:rPr>
            </w:pPr>
            <w:proofErr w:type="spellStart"/>
            <w:r w:rsidRPr="00FD7B40">
              <w:rPr>
                <w:b w:val="0"/>
                <w:color w:val="000000" w:themeColor="text1"/>
                <w:szCs w:val="20"/>
                <w:lang w:val="en-GB"/>
              </w:rPr>
              <w:t>Citadines</w:t>
            </w:r>
            <w:proofErr w:type="spellEnd"/>
            <w:r w:rsidRPr="00FD7B40">
              <w:rPr>
                <w:b w:val="0"/>
                <w:color w:val="000000" w:themeColor="text1"/>
                <w:szCs w:val="20"/>
                <w:lang w:val="en-GB"/>
              </w:rPr>
              <w:t xml:space="preserve"> on Bourke</w:t>
            </w:r>
          </w:p>
          <w:p w:rsidR="00A22D7B" w:rsidRDefault="00A22D7B" w:rsidP="005E00F1">
            <w:pPr>
              <w:pStyle w:val="AHPRASubheading"/>
              <w:tabs>
                <w:tab w:val="left" w:pos="851"/>
              </w:tabs>
              <w:spacing w:before="120" w:after="120"/>
              <w:ind w:left="851" w:hanging="851"/>
              <w:rPr>
                <w:b w:val="0"/>
                <w:color w:val="000000" w:themeColor="text1"/>
                <w:szCs w:val="20"/>
                <w:lang w:val="en-GB"/>
              </w:rPr>
            </w:pPr>
            <w:r w:rsidRPr="00D3147B">
              <w:rPr>
                <w:b w:val="0"/>
                <w:color w:val="000000" w:themeColor="text1"/>
                <w:szCs w:val="20"/>
                <w:lang w:val="en-GB"/>
              </w:rPr>
              <w:t>131-135 Bourke Street</w:t>
            </w:r>
            <w:r>
              <w:rPr>
                <w:b w:val="0"/>
                <w:color w:val="000000" w:themeColor="text1"/>
                <w:szCs w:val="20"/>
                <w:lang w:val="en-GB"/>
              </w:rPr>
              <w:t xml:space="preserve">, </w:t>
            </w:r>
            <w:r w:rsidRPr="00D3147B">
              <w:rPr>
                <w:b w:val="0"/>
                <w:color w:val="000000" w:themeColor="text1"/>
                <w:szCs w:val="20"/>
                <w:lang w:val="en-GB"/>
              </w:rPr>
              <w:t>Melbourne</w:t>
            </w:r>
            <w:r>
              <w:rPr>
                <w:b w:val="0"/>
                <w:color w:val="000000" w:themeColor="text1"/>
                <w:szCs w:val="20"/>
                <w:lang w:val="en-GB"/>
              </w:rPr>
              <w:t>,</w:t>
            </w:r>
            <w:r w:rsidRPr="00D3147B">
              <w:rPr>
                <w:b w:val="0"/>
                <w:color w:val="000000" w:themeColor="text1"/>
                <w:szCs w:val="20"/>
                <w:lang w:val="en-GB"/>
              </w:rPr>
              <w:t xml:space="preserve"> Victoria</w:t>
            </w:r>
          </w:p>
          <w:p w:rsidR="00A22D7B" w:rsidRPr="00D3147B" w:rsidRDefault="00A22D7B" w:rsidP="00C00F4E">
            <w:pPr>
              <w:pStyle w:val="AHPRASubheading"/>
              <w:tabs>
                <w:tab w:val="left" w:pos="851"/>
              </w:tabs>
              <w:spacing w:before="120" w:after="120"/>
              <w:ind w:left="851" w:hanging="851"/>
              <w:rPr>
                <w:b w:val="0"/>
                <w:color w:val="000000" w:themeColor="text1"/>
                <w:szCs w:val="20"/>
                <w:lang w:val="en-GB"/>
              </w:rPr>
            </w:pPr>
            <w:r w:rsidRPr="006A37D7">
              <w:rPr>
                <w:color w:val="000000" w:themeColor="text1"/>
                <w:szCs w:val="20"/>
                <w:lang w:val="en-GB"/>
              </w:rPr>
              <w:t>RSVP by</w:t>
            </w:r>
            <w:r>
              <w:rPr>
                <w:b w:val="0"/>
                <w:color w:val="000000" w:themeColor="text1"/>
                <w:szCs w:val="20"/>
                <w:lang w:val="en-GB"/>
              </w:rPr>
              <w:t xml:space="preserve"> </w:t>
            </w:r>
            <w:r w:rsidR="00C00F4E">
              <w:rPr>
                <w:b w:val="0"/>
                <w:color w:val="000000" w:themeColor="text1"/>
                <w:szCs w:val="20"/>
                <w:lang w:val="en-GB"/>
              </w:rPr>
              <w:t>17:</w:t>
            </w:r>
            <w:r>
              <w:rPr>
                <w:color w:val="auto"/>
              </w:rPr>
              <w:t>00 Thursday 20 July 2017</w:t>
            </w:r>
          </w:p>
        </w:tc>
        <w:tc>
          <w:tcPr>
            <w:tcW w:w="0" w:type="auto"/>
            <w:vMerge w:val="restart"/>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vAlign w:val="center"/>
            <w:hideMark/>
          </w:tcPr>
          <w:p w:rsidR="00A22D7B" w:rsidRPr="00D3147B" w:rsidRDefault="00C00F4E" w:rsidP="00C00F4E">
            <w:pPr>
              <w:spacing w:after="240"/>
              <w:jc w:val="center"/>
              <w:rPr>
                <w:rFonts w:eastAsia="Times New Roman" w:cs="Arial"/>
                <w:color w:val="000000" w:themeColor="text1"/>
                <w:sz w:val="20"/>
                <w:szCs w:val="20"/>
                <w:lang w:val="en-US"/>
              </w:rPr>
            </w:pPr>
            <w:r>
              <w:rPr>
                <w:rFonts w:eastAsia="Times New Roman" w:cs="Arial"/>
                <w:color w:val="000000" w:themeColor="text1"/>
                <w:sz w:val="20"/>
                <w:szCs w:val="20"/>
                <w:lang w:val="en-US"/>
              </w:rPr>
              <w:t>17:</w:t>
            </w:r>
            <w:r w:rsidR="00A22D7B" w:rsidRPr="00D3147B">
              <w:rPr>
                <w:rFonts w:eastAsia="Times New Roman" w:cs="Arial"/>
                <w:color w:val="000000" w:themeColor="text1"/>
                <w:sz w:val="20"/>
                <w:szCs w:val="20"/>
                <w:lang w:val="en-US"/>
              </w:rPr>
              <w:t xml:space="preserve">30 – </w:t>
            </w:r>
            <w:r>
              <w:rPr>
                <w:rFonts w:eastAsia="Times New Roman" w:cs="Arial"/>
                <w:color w:val="000000" w:themeColor="text1"/>
                <w:sz w:val="20"/>
                <w:szCs w:val="20"/>
                <w:lang w:val="en-US"/>
              </w:rPr>
              <w:t>19:00</w:t>
            </w:r>
            <w:r w:rsidR="00A22D7B" w:rsidRPr="00D3147B">
              <w:rPr>
                <w:rFonts w:eastAsia="Times New Roman" w:cs="Arial"/>
                <w:color w:val="000000" w:themeColor="text1"/>
                <w:sz w:val="20"/>
                <w:szCs w:val="20"/>
                <w:lang w:val="en-US"/>
              </w:rPr>
              <w:t> </w:t>
            </w:r>
            <w:r w:rsidR="00A22D7B" w:rsidRPr="00D3147B">
              <w:rPr>
                <w:rFonts w:eastAsia="Times New Roman" w:cs="Arial"/>
                <w:color w:val="000000" w:themeColor="text1"/>
                <w:sz w:val="20"/>
                <w:szCs w:val="20"/>
                <w:lang w:val="en-US"/>
              </w:rPr>
              <w:br/>
            </w:r>
          </w:p>
        </w:tc>
      </w:tr>
      <w:tr w:rsidR="00A22D7B" w:rsidRPr="00D3147B" w:rsidTr="005E00F1">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D3147B" w:rsidRDefault="00A22D7B" w:rsidP="005E00F1">
            <w:pPr>
              <w:spacing w:after="207"/>
              <w:rPr>
                <w:rFonts w:eastAsia="Times New Roman" w:cs="Arial"/>
                <w:color w:val="000000" w:themeColor="text1"/>
                <w:sz w:val="20"/>
                <w:szCs w:val="20"/>
                <w:lang w:val="en-US"/>
              </w:rPr>
            </w:pPr>
            <w:r w:rsidRPr="00D3147B">
              <w:rPr>
                <w:rFonts w:eastAsia="Times New Roman" w:cs="Arial"/>
                <w:b/>
                <w:color w:val="000000" w:themeColor="text1"/>
                <w:sz w:val="20"/>
                <w:szCs w:val="20"/>
                <w:lang w:val="en-US"/>
              </w:rPr>
              <w:t>Sydney</w:t>
            </w:r>
            <w:r w:rsidRPr="00D3147B">
              <w:rPr>
                <w:rFonts w:eastAsia="Times New Roman" w:cs="Arial"/>
                <w:color w:val="000000" w:themeColor="text1"/>
                <w:sz w:val="20"/>
                <w:szCs w:val="20"/>
                <w:lang w:val="en-US"/>
              </w:rPr>
              <w:t>  </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135B23" w:rsidRDefault="00A22D7B" w:rsidP="005E00F1">
            <w:pPr>
              <w:pStyle w:val="AHPRASubheading"/>
              <w:tabs>
                <w:tab w:val="left" w:pos="851"/>
              </w:tabs>
              <w:spacing w:before="0" w:after="120"/>
              <w:ind w:left="851" w:hanging="851"/>
              <w:rPr>
                <w:rFonts w:eastAsia="Times New Roman" w:cs="Arial"/>
                <w:color w:val="000000" w:themeColor="text1"/>
                <w:szCs w:val="20"/>
                <w:lang w:val="en-US"/>
              </w:rPr>
            </w:pPr>
            <w:r w:rsidRPr="00D3147B">
              <w:rPr>
                <w:rFonts w:eastAsia="Times New Roman" w:cs="Arial"/>
                <w:color w:val="000000" w:themeColor="text1"/>
                <w:szCs w:val="20"/>
                <w:lang w:val="en-US"/>
              </w:rPr>
              <w:t>Monday 21 August </w:t>
            </w:r>
          </w:p>
          <w:p w:rsidR="00A22D7B" w:rsidRDefault="00A22D7B" w:rsidP="005E00F1">
            <w:pPr>
              <w:pStyle w:val="AHPRASubheading"/>
              <w:tabs>
                <w:tab w:val="left" w:pos="851"/>
              </w:tabs>
              <w:spacing w:before="0" w:after="120"/>
              <w:ind w:left="851" w:hanging="851"/>
              <w:rPr>
                <w:rFonts w:eastAsia="Times New Roman" w:cs="Arial"/>
                <w:color w:val="000000" w:themeColor="text1"/>
                <w:szCs w:val="20"/>
                <w:lang w:val="en-US"/>
              </w:rPr>
            </w:pPr>
            <w:r w:rsidRPr="00FD7B40">
              <w:rPr>
                <w:rFonts w:eastAsia="Times New Roman" w:cs="Arial"/>
                <w:b w:val="0"/>
                <w:color w:val="000000" w:themeColor="text1"/>
                <w:szCs w:val="20"/>
                <w:lang w:val="en-US"/>
              </w:rPr>
              <w:t xml:space="preserve">Sydney </w:t>
            </w:r>
            <w:proofErr w:type="spellStart"/>
            <w:r w:rsidRPr="00FD7B40">
              <w:rPr>
                <w:rFonts w:eastAsia="Times New Roman" w:cs="Arial"/>
                <w:b w:val="0"/>
                <w:color w:val="000000" w:themeColor="text1"/>
                <w:szCs w:val="20"/>
                <w:lang w:val="en-US"/>
              </w:rPr>
              <w:t>Karstens</w:t>
            </w:r>
            <w:proofErr w:type="spellEnd"/>
          </w:p>
          <w:p w:rsidR="00A22D7B" w:rsidRPr="00D3147B" w:rsidRDefault="00A22D7B" w:rsidP="005E00F1">
            <w:pPr>
              <w:pStyle w:val="AHPRASubheading"/>
              <w:tabs>
                <w:tab w:val="left" w:pos="851"/>
              </w:tabs>
              <w:spacing w:before="0" w:after="120"/>
              <w:ind w:left="851" w:hanging="851"/>
              <w:rPr>
                <w:rFonts w:eastAsia="Times New Roman" w:cs="Arial"/>
                <w:color w:val="000000" w:themeColor="text1"/>
                <w:szCs w:val="20"/>
                <w:lang w:val="en-US"/>
              </w:rPr>
            </w:pPr>
            <w:r w:rsidRPr="00FD7B40">
              <w:rPr>
                <w:rFonts w:eastAsia="Times New Roman" w:cs="Arial"/>
                <w:b w:val="0"/>
                <w:color w:val="000000" w:themeColor="text1"/>
                <w:szCs w:val="20"/>
                <w:lang w:val="en-US"/>
              </w:rPr>
              <w:t>Level 1, 111 Harrington Street, Sydney</w:t>
            </w:r>
          </w:p>
        </w:tc>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A22D7B" w:rsidRPr="00D3147B" w:rsidRDefault="00A22D7B" w:rsidP="005E00F1">
            <w:pPr>
              <w:spacing w:after="0"/>
              <w:rPr>
                <w:rFonts w:eastAsia="Times New Roman" w:cs="Arial"/>
                <w:color w:val="000000" w:themeColor="text1"/>
                <w:sz w:val="20"/>
                <w:szCs w:val="20"/>
                <w:lang w:val="en-US"/>
              </w:rPr>
            </w:pPr>
          </w:p>
        </w:tc>
      </w:tr>
      <w:tr w:rsidR="00A22D7B" w:rsidRPr="00D3147B" w:rsidTr="005E00F1">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D3147B" w:rsidRDefault="00A22D7B" w:rsidP="005E00F1">
            <w:pPr>
              <w:spacing w:after="207"/>
              <w:rPr>
                <w:rFonts w:eastAsia="Times New Roman" w:cs="Arial"/>
                <w:color w:val="000000" w:themeColor="text1"/>
                <w:sz w:val="20"/>
                <w:szCs w:val="20"/>
                <w:lang w:val="en-US"/>
              </w:rPr>
            </w:pPr>
            <w:r w:rsidRPr="00D3147B">
              <w:rPr>
                <w:rFonts w:eastAsia="Times New Roman" w:cs="Arial"/>
                <w:b/>
                <w:color w:val="000000" w:themeColor="text1"/>
                <w:sz w:val="20"/>
                <w:szCs w:val="20"/>
                <w:lang w:val="en-US"/>
              </w:rPr>
              <w:t>Brisbane</w:t>
            </w:r>
            <w:r w:rsidRPr="00D3147B">
              <w:rPr>
                <w:rFonts w:eastAsia="Times New Roman" w:cs="Arial"/>
                <w:color w:val="000000" w:themeColor="text1"/>
                <w:sz w:val="20"/>
                <w:szCs w:val="20"/>
                <w:lang w:val="en-US"/>
              </w:rPr>
              <w:t>  </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135B23" w:rsidRDefault="00A22D7B" w:rsidP="005E00F1">
            <w:pPr>
              <w:spacing w:after="207"/>
              <w:rPr>
                <w:rFonts w:eastAsia="Times New Roman" w:cs="Arial"/>
                <w:b/>
                <w:color w:val="000000" w:themeColor="text1"/>
                <w:sz w:val="20"/>
                <w:szCs w:val="20"/>
                <w:lang w:val="en-US"/>
              </w:rPr>
            </w:pPr>
            <w:r w:rsidRPr="00D3147B">
              <w:rPr>
                <w:rFonts w:eastAsia="Times New Roman" w:cs="Arial"/>
                <w:b/>
                <w:color w:val="000000" w:themeColor="text1"/>
                <w:sz w:val="20"/>
                <w:szCs w:val="20"/>
                <w:lang w:val="en-US"/>
              </w:rPr>
              <w:t>Monday 25 September  </w:t>
            </w:r>
          </w:p>
          <w:p w:rsidR="00A22D7B" w:rsidRDefault="00A22D7B" w:rsidP="005E00F1">
            <w:pPr>
              <w:spacing w:after="207"/>
              <w:rPr>
                <w:rFonts w:eastAsia="Times New Roman" w:cs="Arial"/>
                <w:color w:val="000000" w:themeColor="text1"/>
                <w:sz w:val="20"/>
                <w:szCs w:val="20"/>
                <w:lang w:val="en-US"/>
              </w:rPr>
            </w:pPr>
            <w:r>
              <w:rPr>
                <w:rFonts w:eastAsia="Times New Roman" w:cs="Arial"/>
                <w:color w:val="000000" w:themeColor="text1"/>
                <w:sz w:val="20"/>
                <w:szCs w:val="20"/>
                <w:lang w:val="en-US"/>
              </w:rPr>
              <w:t xml:space="preserve">Brisbane </w:t>
            </w:r>
            <w:proofErr w:type="spellStart"/>
            <w:r>
              <w:rPr>
                <w:rFonts w:eastAsia="Times New Roman" w:cs="Arial"/>
                <w:color w:val="000000" w:themeColor="text1"/>
                <w:sz w:val="20"/>
                <w:szCs w:val="20"/>
                <w:lang w:val="en-US"/>
              </w:rPr>
              <w:t>Karstens</w:t>
            </w:r>
            <w:proofErr w:type="spellEnd"/>
          </w:p>
          <w:p w:rsidR="00A22D7B" w:rsidRPr="00D3147B" w:rsidRDefault="00A22D7B" w:rsidP="005E00F1">
            <w:pPr>
              <w:spacing w:after="207"/>
              <w:rPr>
                <w:rFonts w:eastAsia="Times New Roman" w:cs="Arial"/>
                <w:color w:val="000000" w:themeColor="text1"/>
                <w:sz w:val="20"/>
                <w:szCs w:val="20"/>
                <w:lang w:val="en-US"/>
              </w:rPr>
            </w:pPr>
            <w:r w:rsidRPr="00135B23">
              <w:rPr>
                <w:rFonts w:eastAsia="Times New Roman" w:cs="Arial"/>
                <w:color w:val="000000" w:themeColor="text1"/>
                <w:sz w:val="20"/>
                <w:szCs w:val="20"/>
                <w:lang w:val="en-US"/>
              </w:rPr>
              <w:t>Level 24, 215 Adelaide Street, Brisbane</w:t>
            </w:r>
          </w:p>
        </w:tc>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A22D7B" w:rsidRPr="00D3147B" w:rsidRDefault="00A22D7B" w:rsidP="005E00F1">
            <w:pPr>
              <w:spacing w:after="0"/>
              <w:rPr>
                <w:rFonts w:eastAsia="Times New Roman" w:cs="Arial"/>
                <w:color w:val="000000" w:themeColor="text1"/>
                <w:sz w:val="20"/>
                <w:szCs w:val="20"/>
                <w:lang w:val="en-US"/>
              </w:rPr>
            </w:pPr>
          </w:p>
        </w:tc>
      </w:tr>
      <w:tr w:rsidR="00A22D7B" w:rsidRPr="00D3147B" w:rsidTr="005E00F1">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D3147B" w:rsidRDefault="00A22D7B" w:rsidP="005E00F1">
            <w:pPr>
              <w:spacing w:after="207"/>
              <w:rPr>
                <w:rFonts w:eastAsia="Times New Roman" w:cs="Arial"/>
                <w:color w:val="000000" w:themeColor="text1"/>
                <w:sz w:val="20"/>
                <w:szCs w:val="20"/>
                <w:lang w:val="en-US"/>
              </w:rPr>
            </w:pPr>
            <w:r w:rsidRPr="00D3147B">
              <w:rPr>
                <w:rFonts w:eastAsia="Times New Roman" w:cs="Arial"/>
                <w:b/>
                <w:color w:val="000000" w:themeColor="text1"/>
                <w:sz w:val="20"/>
                <w:szCs w:val="20"/>
                <w:lang w:val="en-US"/>
              </w:rPr>
              <w:t>Adelaide</w:t>
            </w:r>
            <w:r w:rsidRPr="00D3147B">
              <w:rPr>
                <w:rFonts w:eastAsia="Times New Roman" w:cs="Arial"/>
                <w:color w:val="000000" w:themeColor="text1"/>
                <w:sz w:val="20"/>
                <w:szCs w:val="20"/>
                <w:lang w:val="en-US"/>
              </w:rPr>
              <w:t>  </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135B23" w:rsidRDefault="00A22D7B" w:rsidP="005E00F1">
            <w:pPr>
              <w:spacing w:after="207"/>
              <w:rPr>
                <w:rFonts w:eastAsia="Times New Roman" w:cs="Arial"/>
                <w:b/>
                <w:color w:val="000000" w:themeColor="text1"/>
                <w:sz w:val="20"/>
                <w:szCs w:val="20"/>
                <w:lang w:val="en-US"/>
              </w:rPr>
            </w:pPr>
            <w:r w:rsidRPr="00D3147B">
              <w:rPr>
                <w:rFonts w:eastAsia="Times New Roman" w:cs="Arial"/>
                <w:b/>
                <w:color w:val="000000" w:themeColor="text1"/>
                <w:sz w:val="20"/>
                <w:szCs w:val="20"/>
                <w:lang w:val="en-US"/>
              </w:rPr>
              <w:t>Monday 11 December </w:t>
            </w:r>
          </w:p>
          <w:p w:rsidR="00A22D7B" w:rsidRDefault="00A22D7B" w:rsidP="005E00F1">
            <w:pPr>
              <w:spacing w:after="207"/>
              <w:rPr>
                <w:rFonts w:eastAsia="Times New Roman" w:cs="Arial"/>
                <w:color w:val="000000" w:themeColor="text1"/>
                <w:sz w:val="20"/>
                <w:szCs w:val="20"/>
                <w:lang w:val="en-US"/>
              </w:rPr>
            </w:pPr>
            <w:r>
              <w:rPr>
                <w:rFonts w:eastAsia="Times New Roman" w:cs="Arial"/>
                <w:color w:val="000000" w:themeColor="text1"/>
                <w:sz w:val="20"/>
                <w:szCs w:val="20"/>
                <w:lang w:val="en-US"/>
              </w:rPr>
              <w:t xml:space="preserve">Adelaide </w:t>
            </w:r>
            <w:proofErr w:type="spellStart"/>
            <w:r>
              <w:rPr>
                <w:rFonts w:eastAsia="Times New Roman" w:cs="Arial"/>
                <w:color w:val="000000" w:themeColor="text1"/>
                <w:sz w:val="20"/>
                <w:szCs w:val="20"/>
                <w:lang w:val="en-US"/>
              </w:rPr>
              <w:t>Karstens</w:t>
            </w:r>
            <w:proofErr w:type="spellEnd"/>
          </w:p>
          <w:p w:rsidR="00A22D7B" w:rsidRPr="00D3147B" w:rsidRDefault="00A22D7B" w:rsidP="005E00F1">
            <w:pPr>
              <w:spacing w:after="207"/>
              <w:rPr>
                <w:rFonts w:eastAsia="Times New Roman" w:cs="Arial"/>
                <w:color w:val="000000" w:themeColor="text1"/>
                <w:sz w:val="20"/>
                <w:szCs w:val="20"/>
                <w:lang w:val="en-US"/>
              </w:rPr>
            </w:pPr>
            <w:r w:rsidRPr="00135B23">
              <w:rPr>
                <w:rFonts w:eastAsia="Times New Roman" w:cs="Arial"/>
                <w:color w:val="000000" w:themeColor="text1"/>
                <w:sz w:val="20"/>
                <w:szCs w:val="20"/>
                <w:lang w:val="en-US"/>
              </w:rPr>
              <w:lastRenderedPageBreak/>
              <w:t>19 Young Street, Adelaide</w:t>
            </w:r>
            <w:r w:rsidRPr="00D3147B">
              <w:rPr>
                <w:rFonts w:eastAsia="Times New Roman" w:cs="Arial"/>
                <w:color w:val="000000" w:themeColor="text1"/>
                <w:sz w:val="20"/>
                <w:szCs w:val="20"/>
                <w:lang w:val="en-US"/>
              </w:rPr>
              <w:t> </w:t>
            </w:r>
          </w:p>
        </w:tc>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A22D7B" w:rsidRPr="00D3147B" w:rsidRDefault="00A22D7B" w:rsidP="005E00F1">
            <w:pPr>
              <w:spacing w:after="0"/>
              <w:rPr>
                <w:rFonts w:eastAsia="Times New Roman" w:cs="Arial"/>
                <w:color w:val="000000" w:themeColor="text1"/>
                <w:sz w:val="20"/>
                <w:szCs w:val="20"/>
                <w:lang w:val="en-US"/>
              </w:rPr>
            </w:pPr>
          </w:p>
        </w:tc>
      </w:tr>
    </w:tbl>
    <w:p w:rsidR="00A22D7B" w:rsidRDefault="00A22D7B" w:rsidP="00A22D7B">
      <w:pPr>
        <w:spacing w:before="207" w:after="207" w:line="207" w:lineRule="atLeast"/>
        <w:ind w:right="207"/>
        <w:rPr>
          <w:rFonts w:eastAsia="Times New Roman" w:cs="Arial"/>
          <w:color w:val="000000" w:themeColor="text1"/>
          <w:sz w:val="20"/>
          <w:szCs w:val="20"/>
        </w:rPr>
      </w:pPr>
      <w:r w:rsidRPr="00D3147B">
        <w:rPr>
          <w:rFonts w:eastAsia="Times New Roman" w:cs="Arial"/>
          <w:color w:val="000000" w:themeColor="text1"/>
          <w:sz w:val="20"/>
          <w:szCs w:val="20"/>
        </w:rPr>
        <w:t xml:space="preserve">There will be a Board presentation and time for questions and discussion, then networking </w:t>
      </w:r>
      <w:r>
        <w:rPr>
          <w:rFonts w:eastAsia="Times New Roman" w:cs="Arial"/>
          <w:color w:val="000000" w:themeColor="text1"/>
          <w:sz w:val="20"/>
          <w:szCs w:val="20"/>
        </w:rPr>
        <w:t>and</w:t>
      </w:r>
      <w:r w:rsidRPr="00D3147B">
        <w:rPr>
          <w:rFonts w:eastAsia="Times New Roman" w:cs="Arial"/>
          <w:color w:val="000000" w:themeColor="text1"/>
          <w:sz w:val="20"/>
          <w:szCs w:val="20"/>
        </w:rPr>
        <w:t xml:space="preserve"> light refreshments.</w:t>
      </w:r>
    </w:p>
    <w:p w:rsidR="00A22D7B" w:rsidRPr="00D3147B" w:rsidRDefault="00A22D7B" w:rsidP="00A22D7B">
      <w:pPr>
        <w:spacing w:before="207" w:after="207" w:line="207" w:lineRule="atLeast"/>
        <w:ind w:right="207"/>
        <w:rPr>
          <w:rFonts w:eastAsia="Times New Roman" w:cs="Arial"/>
          <w:color w:val="000000" w:themeColor="text1"/>
          <w:sz w:val="20"/>
          <w:szCs w:val="20"/>
        </w:rPr>
      </w:pPr>
      <w:r>
        <w:rPr>
          <w:rFonts w:eastAsia="Times New Roman" w:cs="Arial"/>
          <w:color w:val="000000" w:themeColor="text1"/>
          <w:sz w:val="20"/>
          <w:szCs w:val="20"/>
        </w:rPr>
        <w:t>Please put these dates in your diary</w:t>
      </w:r>
      <w:r w:rsidR="00C52588">
        <w:rPr>
          <w:rFonts w:eastAsia="Times New Roman" w:cs="Arial"/>
          <w:color w:val="000000" w:themeColor="text1"/>
          <w:sz w:val="20"/>
          <w:szCs w:val="20"/>
        </w:rPr>
        <w:t xml:space="preserve"> and RSVP about your attendance.</w:t>
      </w:r>
    </w:p>
    <w:p w:rsidR="007B2231" w:rsidRPr="0016474A" w:rsidRDefault="00205CA8">
      <w:pPr>
        <w:pStyle w:val="AHPRASubheading"/>
      </w:pPr>
      <w:r w:rsidRPr="0016474A">
        <w:t>Board’s Australia-China Council Grant Project</w:t>
      </w:r>
    </w:p>
    <w:p w:rsidR="00F3072C" w:rsidRDefault="00F3072C" w:rsidP="00F3072C">
      <w:pPr>
        <w:pStyle w:val="AHPRABody0"/>
      </w:pPr>
      <w:r w:rsidRPr="00973502">
        <w:t xml:space="preserve">A Board delegation made its first ever visit to China in May </w:t>
      </w:r>
      <w:r>
        <w:t xml:space="preserve">2017 </w:t>
      </w:r>
      <w:r w:rsidRPr="00973502">
        <w:t xml:space="preserve">thanks to funding support from an Australia-China </w:t>
      </w:r>
      <w:r>
        <w:t xml:space="preserve">Council </w:t>
      </w:r>
      <w:r w:rsidRPr="00973502">
        <w:t>(ACC) Grant.</w:t>
      </w:r>
    </w:p>
    <w:p w:rsidR="00F3072C" w:rsidRDefault="00F3072C" w:rsidP="00F3072C">
      <w:pPr>
        <w:pStyle w:val="AHPRABody0"/>
      </w:pPr>
    </w:p>
    <w:p w:rsidR="00F3072C" w:rsidRDefault="00F3072C" w:rsidP="00F3072C">
      <w:pPr>
        <w:pStyle w:val="AHPRABody0"/>
      </w:pPr>
      <w:r w:rsidRPr="00973502">
        <w:t>The delegation built relationships with fellow, international Chinese medicine regulators that will have positive impact for patients and practitioners of Chinese medicine</w:t>
      </w:r>
      <w:r>
        <w:t>.</w:t>
      </w:r>
    </w:p>
    <w:p w:rsidR="00F3072C" w:rsidRDefault="00F3072C" w:rsidP="00F3072C">
      <w:pPr>
        <w:pStyle w:val="AHPRABody0"/>
      </w:pPr>
    </w:p>
    <w:p w:rsidR="00F3072C" w:rsidRDefault="00F3072C" w:rsidP="00F3072C">
      <w:pPr>
        <w:pStyle w:val="AHPRABody0"/>
      </w:pPr>
      <w:r w:rsidRPr="00973502">
        <w:t xml:space="preserve">Board Chair, Professor Charlie Xue, said ‘our discussions in China help lay the foundation for future opportunities in the region including opportunities for: </w:t>
      </w:r>
    </w:p>
    <w:p w:rsidR="00F3072C" w:rsidRDefault="00F3072C" w:rsidP="00F3072C">
      <w:pPr>
        <w:pStyle w:val="AHPRABody0"/>
      </w:pPr>
    </w:p>
    <w:p w:rsidR="00F3072C" w:rsidRDefault="00F3072C" w:rsidP="00C00F4E">
      <w:pPr>
        <w:pStyle w:val="AHPRABulletlevel1"/>
        <w:ind w:left="369" w:hanging="369"/>
      </w:pPr>
      <w:r w:rsidRPr="007658F8">
        <w:t>strengthening our regulatory partnerships</w:t>
      </w:r>
    </w:p>
    <w:p w:rsidR="00F3072C" w:rsidRDefault="00F3072C" w:rsidP="00C00F4E">
      <w:pPr>
        <w:pStyle w:val="AHPRABulletlevel1"/>
        <w:ind w:left="369" w:hanging="369"/>
      </w:pPr>
      <w:r w:rsidRPr="007658F8">
        <w:t xml:space="preserve">research, and </w:t>
      </w:r>
    </w:p>
    <w:p w:rsidR="00F3072C" w:rsidRDefault="00F3072C" w:rsidP="00C00F4E">
      <w:pPr>
        <w:pStyle w:val="AHPRABulletlevel1"/>
        <w:ind w:left="369" w:hanging="369"/>
      </w:pPr>
      <w:proofErr w:type="gramStart"/>
      <w:r w:rsidRPr="007658F8">
        <w:t>progressing</w:t>
      </w:r>
      <w:proofErr w:type="gramEnd"/>
      <w:r w:rsidRPr="007658F8">
        <w:t xml:space="preserve"> practitioner education in Chinese medicine.’</w:t>
      </w:r>
    </w:p>
    <w:p w:rsidR="00F3072C" w:rsidRDefault="00F3072C" w:rsidP="00F3072C">
      <w:pPr>
        <w:pStyle w:val="AHPRABulletlevel1"/>
        <w:numPr>
          <w:ilvl w:val="0"/>
          <w:numId w:val="0"/>
        </w:numPr>
        <w:ind w:left="360"/>
      </w:pPr>
    </w:p>
    <w:p w:rsidR="00F3072C" w:rsidRDefault="00F3072C" w:rsidP="00F3072C">
      <w:pPr>
        <w:pStyle w:val="AHPRABody0"/>
      </w:pPr>
      <w:r w:rsidRPr="00973502">
        <w:t xml:space="preserve">Professor Xue said one outcome of the visit was </w:t>
      </w:r>
      <w:r>
        <w:t>increased information-sharing about</w:t>
      </w:r>
      <w:r w:rsidRPr="00973502">
        <w:t xml:space="preserve"> improving how complaints are managed, </w:t>
      </w:r>
      <w:r>
        <w:t xml:space="preserve">increasing understanding about </w:t>
      </w:r>
      <w:r w:rsidRPr="00973502">
        <w:t xml:space="preserve">how practitioners are registered and </w:t>
      </w:r>
      <w:r>
        <w:t xml:space="preserve">consultation and collaboration </w:t>
      </w:r>
      <w:r w:rsidRPr="00973502">
        <w:t>in the development of standards.</w:t>
      </w:r>
    </w:p>
    <w:p w:rsidR="00F3072C" w:rsidRDefault="00F3072C" w:rsidP="00F3072C">
      <w:pPr>
        <w:pStyle w:val="AHPRABody0"/>
      </w:pPr>
    </w:p>
    <w:p w:rsidR="00F3072C" w:rsidRDefault="00F3072C" w:rsidP="00F3072C">
      <w:pPr>
        <w:pStyle w:val="AHPRABody0"/>
      </w:pPr>
      <w:r w:rsidRPr="00973502">
        <w:t>‘The Board looks forward to cont</w:t>
      </w:r>
      <w:r>
        <w:t>inuing to work</w:t>
      </w:r>
      <w:r w:rsidRPr="00973502">
        <w:t xml:space="preserve"> with </w:t>
      </w:r>
      <w:r>
        <w:t xml:space="preserve">its </w:t>
      </w:r>
      <w:r w:rsidRPr="00973502">
        <w:t xml:space="preserve">international partners to better </w:t>
      </w:r>
      <w:r>
        <w:t xml:space="preserve">deliver on </w:t>
      </w:r>
      <w:r w:rsidRPr="00973502">
        <w:t>its regulatory role to the Australian public and practitioners. We all face very similar challenges and while the context varies greatly, these international connections can only help with setting standards which over time will become more consistent.’</w:t>
      </w:r>
    </w:p>
    <w:p w:rsidR="00F3072C" w:rsidRDefault="00F3072C" w:rsidP="00F3072C">
      <w:pPr>
        <w:pStyle w:val="AHPRABody0"/>
      </w:pPr>
    </w:p>
    <w:p w:rsidR="00F3072C" w:rsidRDefault="00F3072C" w:rsidP="00F3072C">
      <w:pPr>
        <w:pStyle w:val="AHPRABody0"/>
      </w:pPr>
      <w:r w:rsidRPr="00973502">
        <w:t>The Board is grateful to the Australia-China Council for its support through the grant scheme which creates a strong link between China and Australia, directly benefitting the Australian public.</w:t>
      </w:r>
    </w:p>
    <w:p w:rsidR="00F3072C" w:rsidRDefault="00F3072C" w:rsidP="00F3072C">
      <w:pPr>
        <w:pStyle w:val="AHPRABody0"/>
      </w:pPr>
    </w:p>
    <w:p w:rsidR="00F3072C" w:rsidRPr="00973502" w:rsidRDefault="00F3072C" w:rsidP="00F3072C">
      <w:pPr>
        <w:pStyle w:val="AHPRAbodybold"/>
      </w:pPr>
      <w:r w:rsidRPr="00973502">
        <w:t>Background</w:t>
      </w:r>
    </w:p>
    <w:p w:rsidR="00F3072C" w:rsidRDefault="00F3072C" w:rsidP="00F3072C">
      <w:pPr>
        <w:pStyle w:val="AHPRABody0"/>
      </w:pPr>
      <w:r w:rsidRPr="00973502">
        <w:t>The Department of Foreign Affairs and Trade’s Australia-China Council (ACC) Grants Program strengthens links between Australia and China, Hong Kong, Macau and Taiwan by supporting innovative activities to promote mutual understanding and foster stronger relations.</w:t>
      </w:r>
    </w:p>
    <w:p w:rsidR="00F3072C" w:rsidRDefault="00F3072C" w:rsidP="00F3072C">
      <w:pPr>
        <w:pStyle w:val="AHPRABody0"/>
      </w:pPr>
    </w:p>
    <w:p w:rsidR="00F3072C" w:rsidRDefault="00F3072C" w:rsidP="00F3072C">
      <w:pPr>
        <w:pStyle w:val="AHPRABody0"/>
      </w:pPr>
      <w:r w:rsidRPr="00973502">
        <w:t>More information about the ACC, the grants program and the full list of successful grant recipients is available on the </w:t>
      </w:r>
      <w:hyperlink r:id="rId10" w:history="1">
        <w:r w:rsidRPr="00973502">
          <w:rPr>
            <w:rStyle w:val="Hyperlink"/>
          </w:rPr>
          <w:t>Australia-China Council </w:t>
        </w:r>
      </w:hyperlink>
      <w:r w:rsidRPr="00973502">
        <w:t>website.</w:t>
      </w:r>
    </w:p>
    <w:p w:rsidR="007B2231" w:rsidRPr="007B3A05" w:rsidRDefault="009A1F1C">
      <w:pPr>
        <w:pStyle w:val="AHPRASubheading"/>
        <w:rPr>
          <w:shd w:val="clear" w:color="auto" w:fill="FFFFFF"/>
        </w:rPr>
      </w:pPr>
      <w:r w:rsidRPr="007B3A05">
        <w:rPr>
          <w:shd w:val="clear" w:color="auto" w:fill="FFFFFF"/>
        </w:rPr>
        <w:t>Advertising com</w:t>
      </w:r>
      <w:r w:rsidR="007B3A05" w:rsidRPr="007B3A05">
        <w:rPr>
          <w:shd w:val="clear" w:color="auto" w:fill="FFFFFF"/>
        </w:rPr>
        <w:t>pliance</w:t>
      </w:r>
      <w:r w:rsidR="00C52588">
        <w:rPr>
          <w:shd w:val="clear" w:color="auto" w:fill="FFFFFF"/>
        </w:rPr>
        <w:t xml:space="preserve"> within Chinese medicine </w:t>
      </w:r>
    </w:p>
    <w:p w:rsidR="007B3A05" w:rsidRDefault="007B3A05" w:rsidP="007B3A05">
      <w:pPr>
        <w:pStyle w:val="AHPRABody0"/>
      </w:pPr>
      <w:r w:rsidRPr="004F619B">
        <w:t>The Board is concerned about any Chinese medicine practitioners w</w:t>
      </w:r>
      <w:r>
        <w:t>hose</w:t>
      </w:r>
      <w:r w:rsidRPr="004F619B">
        <w:t xml:space="preserve"> advertising (including websites) may not meet the required standards. Advertising by registered Chinese medicine practitioners has recently been the subject of hundreds of complaints which are currently being investigated. </w:t>
      </w:r>
    </w:p>
    <w:p w:rsidR="007B3A05" w:rsidRDefault="007B3A05" w:rsidP="007B3A05">
      <w:pPr>
        <w:pStyle w:val="AHPRABody0"/>
      </w:pPr>
    </w:p>
    <w:p w:rsidR="007B3A05" w:rsidRDefault="007B3A05" w:rsidP="007B3A05">
      <w:pPr>
        <w:pStyle w:val="AHPRABody0"/>
      </w:pPr>
      <w:r w:rsidRPr="004F619B">
        <w:t xml:space="preserve">In order to provide further clarity to both practitioners and the public, the Board </w:t>
      </w:r>
      <w:r>
        <w:t xml:space="preserve">is developing a position statement for publication to </w:t>
      </w:r>
      <w:r w:rsidRPr="004F619B">
        <w:t>provide</w:t>
      </w:r>
      <w:r>
        <w:t xml:space="preserve"> </w:t>
      </w:r>
      <w:r w:rsidRPr="004F619B">
        <w:t>clear advice on advertising matters.</w:t>
      </w:r>
    </w:p>
    <w:p w:rsidR="00FD71D8" w:rsidRDefault="00D67539">
      <w:pPr>
        <w:pStyle w:val="AHPRASubheading"/>
      </w:pPr>
      <w:r>
        <w:t>Chinese Medicine Reference Group</w:t>
      </w:r>
    </w:p>
    <w:p w:rsidR="00D67539" w:rsidRPr="00D67539" w:rsidRDefault="00D67539">
      <w:pPr>
        <w:pStyle w:val="AHPRASubheading"/>
        <w:rPr>
          <w:rFonts w:eastAsia="Calibri" w:cs="Arial"/>
          <w:b w:val="0"/>
          <w:color w:val="auto"/>
          <w:szCs w:val="20"/>
          <w:lang w:eastAsia="en-AU"/>
        </w:rPr>
      </w:pPr>
      <w:r w:rsidRPr="00D67539">
        <w:rPr>
          <w:rFonts w:eastAsia="Calibri" w:cs="Arial"/>
          <w:b w:val="0"/>
          <w:color w:val="auto"/>
          <w:szCs w:val="20"/>
          <w:lang w:eastAsia="en-AU"/>
        </w:rPr>
        <w:t xml:space="preserve">The next meeting </w:t>
      </w:r>
      <w:r w:rsidR="00254F1F">
        <w:rPr>
          <w:rFonts w:eastAsia="Calibri" w:cs="Arial"/>
          <w:b w:val="0"/>
          <w:color w:val="auto"/>
          <w:szCs w:val="20"/>
          <w:lang w:eastAsia="en-AU"/>
        </w:rPr>
        <w:t xml:space="preserve">of the Chinese Medicine Reference Group </w:t>
      </w:r>
      <w:r w:rsidRPr="00D67539">
        <w:rPr>
          <w:rFonts w:eastAsia="Calibri" w:cs="Arial"/>
          <w:b w:val="0"/>
          <w:color w:val="auto"/>
          <w:szCs w:val="20"/>
          <w:lang w:eastAsia="en-AU"/>
        </w:rPr>
        <w:t>is scheduled for 23 August 2017 in Sydney</w:t>
      </w:r>
      <w:r>
        <w:rPr>
          <w:rFonts w:eastAsia="Calibri" w:cs="Arial"/>
          <w:b w:val="0"/>
          <w:color w:val="auto"/>
          <w:szCs w:val="20"/>
          <w:lang w:eastAsia="en-AU"/>
        </w:rPr>
        <w:t>. You may wish to communicate with your representatives from the associat</w:t>
      </w:r>
      <w:r w:rsidR="006F77C1">
        <w:rPr>
          <w:rFonts w:eastAsia="Calibri" w:cs="Arial"/>
          <w:b w:val="0"/>
          <w:color w:val="auto"/>
          <w:szCs w:val="20"/>
          <w:lang w:eastAsia="en-AU"/>
        </w:rPr>
        <w:t>i</w:t>
      </w:r>
      <w:r>
        <w:rPr>
          <w:rFonts w:eastAsia="Calibri" w:cs="Arial"/>
          <w:b w:val="0"/>
          <w:color w:val="auto"/>
          <w:szCs w:val="20"/>
          <w:lang w:eastAsia="en-AU"/>
        </w:rPr>
        <w:t>on or the individual practit</w:t>
      </w:r>
      <w:r w:rsidR="006F77C1">
        <w:rPr>
          <w:rFonts w:eastAsia="Calibri" w:cs="Arial"/>
          <w:b w:val="0"/>
          <w:color w:val="auto"/>
          <w:szCs w:val="20"/>
          <w:lang w:eastAsia="en-AU"/>
        </w:rPr>
        <w:t>i</w:t>
      </w:r>
      <w:r>
        <w:rPr>
          <w:rFonts w:eastAsia="Calibri" w:cs="Arial"/>
          <w:b w:val="0"/>
          <w:color w:val="auto"/>
          <w:szCs w:val="20"/>
          <w:lang w:eastAsia="en-AU"/>
        </w:rPr>
        <w:t>oner members. For a list of member</w:t>
      </w:r>
      <w:r w:rsidR="00EF0CB0">
        <w:rPr>
          <w:rFonts w:eastAsia="Calibri" w:cs="Arial"/>
          <w:b w:val="0"/>
          <w:color w:val="auto"/>
          <w:szCs w:val="20"/>
          <w:lang w:eastAsia="en-AU"/>
        </w:rPr>
        <w:t>s</w:t>
      </w:r>
      <w:r>
        <w:rPr>
          <w:rFonts w:eastAsia="Calibri" w:cs="Arial"/>
          <w:b w:val="0"/>
          <w:color w:val="auto"/>
          <w:szCs w:val="20"/>
          <w:lang w:eastAsia="en-AU"/>
        </w:rPr>
        <w:t xml:space="preserve"> see</w:t>
      </w:r>
      <w:r w:rsidR="00EF0CB0">
        <w:rPr>
          <w:rFonts w:eastAsia="Calibri" w:cs="Arial"/>
          <w:b w:val="0"/>
          <w:color w:val="auto"/>
          <w:szCs w:val="20"/>
          <w:lang w:eastAsia="en-AU"/>
        </w:rPr>
        <w:t xml:space="preserve"> the</w:t>
      </w:r>
      <w:r>
        <w:rPr>
          <w:rFonts w:eastAsia="Calibri" w:cs="Arial"/>
          <w:b w:val="0"/>
          <w:color w:val="auto"/>
          <w:szCs w:val="20"/>
          <w:lang w:eastAsia="en-AU"/>
        </w:rPr>
        <w:t xml:space="preserve"> </w:t>
      </w:r>
      <w:hyperlink r:id="rId11" w:history="1">
        <w:r w:rsidR="006F77C1">
          <w:rPr>
            <w:rStyle w:val="Hyperlink"/>
            <w:rFonts w:eastAsia="Calibri" w:cs="Arial"/>
            <w:b w:val="0"/>
            <w:szCs w:val="20"/>
            <w:lang w:eastAsia="en-AU"/>
          </w:rPr>
          <w:t>Chinese Medicine Reference Group</w:t>
        </w:r>
      </w:hyperlink>
      <w:r w:rsidR="006F77C1">
        <w:rPr>
          <w:rFonts w:eastAsia="Calibri" w:cs="Arial"/>
          <w:b w:val="0"/>
          <w:color w:val="auto"/>
          <w:szCs w:val="20"/>
          <w:lang w:eastAsia="en-AU"/>
        </w:rPr>
        <w:t xml:space="preserve"> </w:t>
      </w:r>
      <w:r w:rsidR="00EF0CB0">
        <w:rPr>
          <w:rFonts w:eastAsia="Calibri" w:cs="Arial"/>
          <w:b w:val="0"/>
          <w:color w:val="auto"/>
          <w:szCs w:val="20"/>
          <w:lang w:eastAsia="en-AU"/>
        </w:rPr>
        <w:t xml:space="preserve">page on the Board website. </w:t>
      </w:r>
    </w:p>
    <w:p w:rsidR="00C00F4E" w:rsidRDefault="00C00F4E" w:rsidP="005B45A0">
      <w:pPr>
        <w:pStyle w:val="AHPRASubheading"/>
      </w:pPr>
    </w:p>
    <w:p w:rsidR="005B45A0" w:rsidRPr="009E7D27" w:rsidRDefault="005B45A0" w:rsidP="005B45A0">
      <w:pPr>
        <w:pStyle w:val="AHPRASubheading"/>
      </w:pPr>
      <w:r w:rsidRPr="009E7D27">
        <w:lastRenderedPageBreak/>
        <w:t>AHPRA and National Boards note Senate report</w:t>
      </w:r>
    </w:p>
    <w:p w:rsidR="005B45A0" w:rsidRPr="00B523FB" w:rsidRDefault="005B45A0" w:rsidP="005B45A0">
      <w:pPr>
        <w:pStyle w:val="AHPRAbody"/>
        <w:rPr>
          <w:b/>
        </w:rPr>
      </w:pPr>
      <w:r w:rsidRPr="00EC480C">
        <w:t xml:space="preserve">AHPRA </w:t>
      </w:r>
      <w:r w:rsidRPr="00B523FB">
        <w:t xml:space="preserve">and the </w:t>
      </w:r>
      <w:r>
        <w:t xml:space="preserve">National Boards </w:t>
      </w:r>
      <w:r w:rsidRPr="00B523FB">
        <w:t>have noted the</w:t>
      </w:r>
      <w:r w:rsidRPr="003E634A">
        <w:t xml:space="preserve"> </w:t>
      </w:r>
      <w:hyperlink r:id="rId12" w:history="1">
        <w:r w:rsidRPr="003E634A">
          <w:rPr>
            <w:rStyle w:val="Hyperlink"/>
          </w:rPr>
          <w:t>report</w:t>
        </w:r>
      </w:hyperlink>
      <w:r w:rsidRPr="003E634A">
        <w:t xml:space="preserve"> </w:t>
      </w:r>
      <w:r w:rsidRPr="00B523FB">
        <w:t>of the Senate Standing Committee on Community Affairs into</w:t>
      </w:r>
      <w:r>
        <w:t xml:space="preserve"> the</w:t>
      </w:r>
      <w:r w:rsidRPr="00B523FB">
        <w:t xml:space="preserve"> complaints </w:t>
      </w:r>
      <w:r>
        <w:t>mechanism administered under the National Law</w:t>
      </w:r>
      <w:r w:rsidRPr="00B523FB">
        <w:t xml:space="preserve">. AHPRA and the </w:t>
      </w:r>
      <w:r>
        <w:t>National Boards</w:t>
      </w:r>
      <w:r w:rsidRPr="00B523FB">
        <w:t xml:space="preserve"> will consider the Senate’s 14 recommendations</w:t>
      </w:r>
      <w:r>
        <w:t xml:space="preserve"> in determining actions to further improve the complaints process</w:t>
      </w:r>
      <w:r w:rsidRPr="00B523FB">
        <w:t>.</w:t>
      </w:r>
    </w:p>
    <w:p w:rsidR="005B45A0" w:rsidRPr="009E7D27" w:rsidRDefault="005B45A0" w:rsidP="005B45A0">
      <w:pPr>
        <w:pStyle w:val="AHPRASubheading"/>
      </w:pPr>
      <w:r w:rsidRPr="009E7D27">
        <w:t xml:space="preserve">Registration opens for CLEAR </w:t>
      </w:r>
    </w:p>
    <w:p w:rsidR="005B45A0" w:rsidRDefault="005B45A0" w:rsidP="005B45A0">
      <w:pPr>
        <w:pStyle w:val="AHPRAbody"/>
      </w:pPr>
      <w:r>
        <w:t xml:space="preserve">The Fifth International Congress on Professional and Occupational Regulation will be held this November in Melbourne. The congress provides an opportunity for regulatory stakeholders from around the world to come together and share global perspectives on licensure and regulation. </w:t>
      </w:r>
    </w:p>
    <w:p w:rsidR="005B45A0" w:rsidRDefault="005B45A0" w:rsidP="005B45A0">
      <w:pPr>
        <w:pStyle w:val="AHPRAbody"/>
      </w:pPr>
      <w:r>
        <w:t xml:space="preserve">Additional information about the conference, including how to register, is on the AHPRA </w:t>
      </w:r>
      <w:hyperlink r:id="rId13" w:history="1">
        <w:r w:rsidRPr="00927573">
          <w:rPr>
            <w:rStyle w:val="Hyperlink"/>
          </w:rPr>
          <w:t>website</w:t>
        </w:r>
      </w:hyperlink>
      <w:r>
        <w:t>.</w:t>
      </w:r>
    </w:p>
    <w:p w:rsidR="007B2231" w:rsidRPr="00EF3310" w:rsidRDefault="00142951">
      <w:pPr>
        <w:pStyle w:val="AHPRASubheading"/>
      </w:pPr>
      <w:r w:rsidRPr="00EF3310">
        <w:t>Updating your contact details</w:t>
      </w:r>
    </w:p>
    <w:p w:rsidR="00E00104" w:rsidRDefault="005D332D" w:rsidP="00C854F0">
      <w:pPr>
        <w:pStyle w:val="AHPRAbody"/>
      </w:pPr>
      <w:r w:rsidRPr="00EF3310">
        <w:t xml:space="preserve">To check or update the contact details you have lodged with AHPRA, access the online services panel for practitioners on the </w:t>
      </w:r>
      <w:hyperlink r:id="rId14" w:history="1">
        <w:r w:rsidRPr="00EF3310">
          <w:rPr>
            <w:rStyle w:val="Hyperlink"/>
          </w:rPr>
          <w:t>homepage of the Board’s website</w:t>
        </w:r>
      </w:hyperlink>
      <w:r w:rsidRPr="00EF3310">
        <w:t xml:space="preserve"> and click Update your contact details. Enter your user ID, date of birth and password (please note that your user ID is not your registration number). If you don’t remember your user ID or password, contact us </w:t>
      </w:r>
      <w:hyperlink r:id="rId15" w:history="1">
        <w:r w:rsidRPr="00EF3310">
          <w:rPr>
            <w:rStyle w:val="Hyperlink"/>
            <w:color w:val="auto"/>
            <w:u w:val="none"/>
          </w:rPr>
          <w:t>online</w:t>
        </w:r>
      </w:hyperlink>
      <w:r w:rsidRPr="00EF3310">
        <w:t xml:space="preserve"> or phone 1300 419 495 for help.</w:t>
      </w:r>
    </w:p>
    <w:p w:rsidR="00AC5BE2" w:rsidRPr="00AC5BE2" w:rsidRDefault="00AC5BE2" w:rsidP="00AC5BE2">
      <w:pPr>
        <w:pStyle w:val="AHPRASubheading"/>
        <w:rPr>
          <w:b w:val="0"/>
        </w:rPr>
      </w:pPr>
      <w:r w:rsidRPr="00AC5BE2">
        <w:t>New advertising information available for practitioners</w:t>
      </w:r>
    </w:p>
    <w:p w:rsidR="00AC5BE2" w:rsidRPr="00542B52" w:rsidRDefault="00AC5BE2" w:rsidP="00AC5BE2">
      <w:pPr>
        <w:pStyle w:val="AHPRAbody"/>
        <w:rPr>
          <w:rStyle w:val="Hyperlink"/>
          <w:color w:val="000000"/>
          <w:u w:val="none"/>
        </w:rPr>
      </w:pPr>
      <w:r w:rsidRPr="00AC5BE2">
        <w:rPr>
          <w:rStyle w:val="Hyperlink"/>
          <w:color w:val="000000"/>
          <w:u w:val="none"/>
        </w:rPr>
        <w:t>The Board noted that new advertising information is now available on the AHPRA website to help podiatrists and podiatric surgeons check and correct their advertising so they comply with lega</w:t>
      </w:r>
      <w:r w:rsidRPr="007D0FB0">
        <w:rPr>
          <w:rStyle w:val="Hyperlink"/>
          <w:color w:val="000000"/>
          <w:u w:val="none"/>
        </w:rPr>
        <w:t>l requirements.</w:t>
      </w:r>
    </w:p>
    <w:p w:rsidR="00AC5BE2" w:rsidRPr="00254F1F" w:rsidRDefault="00AC5BE2" w:rsidP="00AC5BE2">
      <w:pPr>
        <w:pStyle w:val="AHPRAbody"/>
        <w:rPr>
          <w:rStyle w:val="Hyperlink"/>
          <w:color w:val="000000"/>
          <w:u w:val="none"/>
        </w:rPr>
      </w:pPr>
      <w:r w:rsidRPr="00254F1F">
        <w:rPr>
          <w:rStyle w:val="Hyperlink"/>
          <w:color w:val="000000"/>
          <w:u w:val="none"/>
        </w:rPr>
        <w:t>It includes:</w:t>
      </w:r>
    </w:p>
    <w:p w:rsidR="00AC5BE2" w:rsidRPr="000B6844" w:rsidRDefault="00AC5BE2" w:rsidP="00C00F4E">
      <w:pPr>
        <w:pStyle w:val="AHPRAbody"/>
        <w:numPr>
          <w:ilvl w:val="0"/>
          <w:numId w:val="25"/>
        </w:numPr>
        <w:spacing w:after="0"/>
        <w:ind w:left="369" w:hanging="369"/>
        <w:rPr>
          <w:rStyle w:val="Hyperlink"/>
          <w:color w:val="000000"/>
          <w:u w:val="none"/>
        </w:rPr>
      </w:pPr>
      <w:r w:rsidRPr="00254F1F">
        <w:rPr>
          <w:rStyle w:val="Hyperlink"/>
          <w:color w:val="000000"/>
          <w:u w:val="none"/>
        </w:rPr>
        <w:t>examples of non-compliant advertising by registered health practitioners and changes that would help it to comply with the National Law</w:t>
      </w:r>
    </w:p>
    <w:p w:rsidR="00AC5BE2" w:rsidRPr="00AC5BE2" w:rsidRDefault="00AC5BE2" w:rsidP="00C00F4E">
      <w:pPr>
        <w:pStyle w:val="AHPRAbody"/>
        <w:numPr>
          <w:ilvl w:val="0"/>
          <w:numId w:val="25"/>
        </w:numPr>
        <w:spacing w:after="0"/>
        <w:ind w:left="369" w:hanging="369"/>
        <w:rPr>
          <w:rStyle w:val="Hyperlink"/>
          <w:color w:val="000000"/>
          <w:u w:val="none"/>
        </w:rPr>
      </w:pPr>
      <w:r w:rsidRPr="000B6844">
        <w:rPr>
          <w:rStyle w:val="Hyperlink"/>
          <w:color w:val="000000"/>
          <w:u w:val="none"/>
        </w:rPr>
        <w:t>information about AHPRA’s process for managing advertising complaints, and</w:t>
      </w:r>
    </w:p>
    <w:p w:rsidR="00AC5BE2" w:rsidRPr="00AC5BE2" w:rsidRDefault="00BF2F61" w:rsidP="00C00F4E">
      <w:pPr>
        <w:pStyle w:val="AHPRAbody"/>
        <w:numPr>
          <w:ilvl w:val="0"/>
          <w:numId w:val="25"/>
        </w:numPr>
        <w:ind w:left="369" w:hanging="369"/>
        <w:rPr>
          <w:rStyle w:val="Hyperlink"/>
          <w:color w:val="000000"/>
          <w:u w:val="none"/>
        </w:rPr>
      </w:pPr>
      <w:proofErr w:type="gramStart"/>
      <w:r w:rsidRPr="00BF2F61">
        <w:rPr>
          <w:rStyle w:val="Hyperlink"/>
          <w:color w:val="000000"/>
          <w:u w:val="none"/>
        </w:rPr>
        <w:t>a</w:t>
      </w:r>
      <w:proofErr w:type="gramEnd"/>
      <w:r w:rsidRPr="00BF2F61">
        <w:rPr>
          <w:rStyle w:val="Hyperlink"/>
          <w:color w:val="000000"/>
          <w:u w:val="none"/>
        </w:rPr>
        <w:t xml:space="preserve"> summary of advertising guidelines.</w:t>
      </w:r>
    </w:p>
    <w:p w:rsidR="00AC5BE2" w:rsidRPr="00AC5BE2" w:rsidRDefault="00BF2F61" w:rsidP="00AC5BE2">
      <w:pPr>
        <w:pStyle w:val="AHPRAbody"/>
        <w:rPr>
          <w:rStyle w:val="Hyperlink"/>
          <w:color w:val="000000"/>
          <w:u w:val="none"/>
        </w:rPr>
      </w:pPr>
      <w:r w:rsidRPr="00BF2F61">
        <w:rPr>
          <w:rStyle w:val="Hyperlink"/>
          <w:color w:val="000000"/>
          <w:u w:val="none"/>
        </w:rPr>
        <w:t>Podiatrists and podiatric surgeons are responsible for their advertising and must be able to substantiate any claims made that their treatments benefit patients. If in doubt about a claim, podiatrists and podiatric surgeons should leave it out of their advertising.</w:t>
      </w:r>
    </w:p>
    <w:p w:rsidR="00AC5BE2" w:rsidRPr="00EF3310" w:rsidRDefault="00BF2F61" w:rsidP="00C854F0">
      <w:pPr>
        <w:pStyle w:val="AHPRAbody"/>
      </w:pPr>
      <w:r w:rsidRPr="00BF2F61">
        <w:rPr>
          <w:rStyle w:val="Hyperlink"/>
          <w:color w:val="000000"/>
          <w:u w:val="none"/>
        </w:rPr>
        <w:t xml:space="preserve">More about advertising requirements is in the </w:t>
      </w:r>
      <w:hyperlink r:id="rId16" w:history="1">
        <w:r w:rsidRPr="00BF2F61">
          <w:rPr>
            <w:rStyle w:val="Hyperlink"/>
            <w:u w:val="none"/>
          </w:rPr>
          <w:t>Advertising resources</w:t>
        </w:r>
      </w:hyperlink>
      <w:r w:rsidRPr="00BF2F61">
        <w:rPr>
          <w:rStyle w:val="Hyperlink"/>
          <w:color w:val="000000"/>
          <w:u w:val="none"/>
        </w:rPr>
        <w:t xml:space="preserve"> section of the AHPRA website. </w:t>
      </w:r>
    </w:p>
    <w:p w:rsidR="004F23CA" w:rsidRPr="00EF3310" w:rsidRDefault="004F23CA" w:rsidP="004F441A">
      <w:pPr>
        <w:pStyle w:val="AHPRASubheading"/>
        <w:spacing w:before="240" w:after="120"/>
        <w:rPr>
          <w:rFonts w:ascii="Calibri" w:hAnsi="Calibri"/>
          <w:sz w:val="22"/>
          <w:szCs w:val="22"/>
        </w:rPr>
      </w:pPr>
      <w:r w:rsidRPr="00EF3310">
        <w:t>Follow AHPRA on social media</w:t>
      </w:r>
    </w:p>
    <w:p w:rsidR="004F23CA" w:rsidRPr="00EF3310" w:rsidRDefault="004F23CA" w:rsidP="004F23CA">
      <w:pPr>
        <w:pStyle w:val="AHPRAbody"/>
        <w:rPr>
          <w:color w:val="0000FF"/>
          <w:szCs w:val="20"/>
        </w:rPr>
      </w:pPr>
      <w:r w:rsidRPr="00EF3310">
        <w:t xml:space="preserve">Connect with AHPRA on </w:t>
      </w:r>
      <w:hyperlink r:id="rId17" w:history="1">
        <w:r w:rsidRPr="00EF3310">
          <w:rPr>
            <w:rStyle w:val="Hyperlink"/>
          </w:rPr>
          <w:t>Facebook</w:t>
        </w:r>
      </w:hyperlink>
      <w:r w:rsidRPr="00EF3310">
        <w:t xml:space="preserve">, </w:t>
      </w:r>
      <w:hyperlink r:id="rId18" w:history="1">
        <w:r w:rsidRPr="00EF3310">
          <w:rPr>
            <w:rStyle w:val="Hyperlink"/>
          </w:rPr>
          <w:t>Twitter</w:t>
        </w:r>
      </w:hyperlink>
      <w:r w:rsidRPr="00EF3310">
        <w:rPr>
          <w:rStyle w:val="Hyperlink"/>
          <w:color w:val="000000"/>
        </w:rPr>
        <w:t xml:space="preserve"> or </w:t>
      </w:r>
      <w:hyperlink r:id="rId19" w:history="1">
        <w:r w:rsidRPr="00EF3310">
          <w:rPr>
            <w:rStyle w:val="Hyperlink"/>
          </w:rPr>
          <w:t>LinkedIn</w:t>
        </w:r>
      </w:hyperlink>
      <w:r w:rsidRPr="00EF3310">
        <w:rPr>
          <w:rStyle w:val="Hyperlink"/>
          <w:u w:val="none"/>
        </w:rPr>
        <w:t xml:space="preserve"> </w:t>
      </w:r>
      <w:r w:rsidRPr="00EF3310">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4F23CA" w:rsidRPr="00EF3310" w:rsidTr="00550C45">
        <w:trPr>
          <w:trHeight w:val="412"/>
        </w:trPr>
        <w:tc>
          <w:tcPr>
            <w:tcW w:w="495" w:type="dxa"/>
            <w:shd w:val="clear" w:color="auto" w:fill="FFFFFF"/>
            <w:hideMark/>
          </w:tcPr>
          <w:p w:rsidR="004F23CA" w:rsidRPr="00EF3310" w:rsidRDefault="004F23CA" w:rsidP="00550C45">
            <w:pPr>
              <w:pStyle w:val="AHPRAbody"/>
            </w:pPr>
            <w:r w:rsidRPr="00EF3310">
              <w:rPr>
                <w:noProof/>
                <w:lang w:eastAsia="en-AU"/>
              </w:rPr>
              <w:drawing>
                <wp:inline distT="0" distB="0" distL="0" distR="0">
                  <wp:extent cx="295275" cy="295275"/>
                  <wp:effectExtent l="0" t="0" r="0" b="0"/>
                  <wp:docPr id="6" name="Picture 6" descr="cid:image001.png@01D29412.B22B9AD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4F23CA" w:rsidRPr="00EF3310" w:rsidRDefault="004F23CA" w:rsidP="00550C45">
            <w:pPr>
              <w:pStyle w:val="AHPRAbody"/>
            </w:pPr>
            <w:r w:rsidRPr="00EF3310">
              <w:rPr>
                <w:noProof/>
                <w:lang w:eastAsia="en-AU"/>
              </w:rPr>
              <w:drawing>
                <wp:inline distT="0" distB="0" distL="0" distR="0">
                  <wp:extent cx="295275" cy="295275"/>
                  <wp:effectExtent l="0" t="0" r="0" b="0"/>
                  <wp:docPr id="5" name="Picture 5" descr="cid:image002.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4F23CA" w:rsidRPr="00EF3310" w:rsidRDefault="004F23CA" w:rsidP="00550C45">
            <w:pPr>
              <w:pStyle w:val="AHPRAbody"/>
            </w:pPr>
            <w:r w:rsidRPr="00EF3310">
              <w:rPr>
                <w:noProof/>
                <w:lang w:eastAsia="en-AU"/>
              </w:rPr>
              <w:drawing>
                <wp:inline distT="0" distB="0" distL="0" distR="0">
                  <wp:extent cx="285750" cy="285750"/>
                  <wp:effectExtent l="0" t="0" r="0" b="0"/>
                  <wp:docPr id="4" name="Picture 4" descr="cid:image003.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7B2231" w:rsidRPr="00EF3310" w:rsidRDefault="005D332D">
      <w:pPr>
        <w:pStyle w:val="AHPRASubheading"/>
      </w:pPr>
      <w:r w:rsidRPr="00EF3310">
        <w:t>Importan</w:t>
      </w:r>
      <w:r w:rsidR="00142951" w:rsidRPr="00EF3310">
        <w:t>t information for practitioners</w:t>
      </w:r>
    </w:p>
    <w:p w:rsidR="009C396E" w:rsidRPr="00EF3310" w:rsidRDefault="005D332D" w:rsidP="00421ABE">
      <w:pPr>
        <w:pStyle w:val="AHPRAbody"/>
      </w:pPr>
      <w:r w:rsidRPr="00EF3310">
        <w:t xml:space="preserve">The Board publishes a range of information about registration, including its expectations of practitioners, at </w:t>
      </w:r>
      <w:hyperlink r:id="rId26" w:history="1">
        <w:r w:rsidRPr="00EF3310">
          <w:rPr>
            <w:rStyle w:val="Hyperlink"/>
          </w:rPr>
          <w:t>www.chinesemedicineboard.gov.au</w:t>
        </w:r>
      </w:hyperlink>
      <w:r w:rsidR="00142951" w:rsidRPr="00EF3310">
        <w:t>.</w:t>
      </w:r>
    </w:p>
    <w:p w:rsidR="007B2231" w:rsidRPr="00EF3310" w:rsidRDefault="005D332D">
      <w:pPr>
        <w:pStyle w:val="AHPRABody0"/>
      </w:pPr>
      <w:r w:rsidRPr="00EF3310">
        <w:t xml:space="preserve">For more details or help with questions about your registration, notifications or other matters relevant to the National Scheme, refer to information published on </w:t>
      </w:r>
      <w:hyperlink r:id="rId27" w:history="1">
        <w:r w:rsidRPr="00EF3310">
          <w:rPr>
            <w:rStyle w:val="Hyperlink"/>
          </w:rPr>
          <w:t>www.ahpra.gov.au</w:t>
        </w:r>
      </w:hyperlink>
      <w:r w:rsidRPr="00EF3310">
        <w:t xml:space="preserve"> or </w:t>
      </w:r>
      <w:hyperlink r:id="rId28" w:history="1">
        <w:r w:rsidRPr="00EF3310">
          <w:rPr>
            <w:rStyle w:val="Hyperlink"/>
          </w:rPr>
          <w:t>contact AHPRA</w:t>
        </w:r>
      </w:hyperlink>
      <w:r w:rsidRPr="00EF3310">
        <w:t xml:space="preserve">, send an </w:t>
      </w:r>
      <w:hyperlink r:id="rId29" w:history="1">
        <w:r w:rsidRPr="00EF3310">
          <w:rPr>
            <w:rStyle w:val="Hyperlink"/>
          </w:rPr>
          <w:t>online enquiry form</w:t>
        </w:r>
      </w:hyperlink>
      <w:r w:rsidR="00142951" w:rsidRPr="00EF3310">
        <w:t xml:space="preserve"> or call on 1300 419 495.</w:t>
      </w:r>
    </w:p>
    <w:p w:rsidR="00D90FF9" w:rsidRPr="00EF3310" w:rsidRDefault="005D332D" w:rsidP="00FD46A6">
      <w:pPr>
        <w:pStyle w:val="AHPRASubheading"/>
        <w:spacing w:after="60"/>
        <w:rPr>
          <w:rFonts w:cs="Arial"/>
          <w:szCs w:val="20"/>
        </w:rPr>
      </w:pPr>
      <w:r w:rsidRPr="00EF3310">
        <w:rPr>
          <w:rFonts w:cs="Arial"/>
          <w:szCs w:val="20"/>
        </w:rPr>
        <w:t xml:space="preserve">Professor Charlie C Xue </w:t>
      </w:r>
    </w:p>
    <w:p w:rsidR="000C5E4B" w:rsidRPr="00EF3310" w:rsidRDefault="005D332D" w:rsidP="00FD46A6">
      <w:pPr>
        <w:pStyle w:val="AHPRAbodybold"/>
      </w:pPr>
      <w:r w:rsidRPr="00EF3310">
        <w:t>Chair, Chinese Medi</w:t>
      </w:r>
      <w:r w:rsidR="001E2EF6" w:rsidRPr="00EF3310">
        <w:t>cine Board of Australia</w:t>
      </w:r>
    </w:p>
    <w:p w:rsidR="0024223A" w:rsidRPr="00EF3310" w:rsidRDefault="00EF3310" w:rsidP="00D90FF9">
      <w:pPr>
        <w:pStyle w:val="AHPRAbody"/>
      </w:pPr>
      <w:r w:rsidRPr="00EF3310">
        <w:t>27 June</w:t>
      </w:r>
      <w:r w:rsidR="006A685C" w:rsidRPr="00EF3310">
        <w:t xml:space="preserve"> 2017</w:t>
      </w:r>
    </w:p>
    <w:p w:rsidR="00395004" w:rsidRPr="00EF3310" w:rsidRDefault="00B66EFF" w:rsidP="00C10089">
      <w:pPr>
        <w:pStyle w:val="AHPRAbody"/>
        <w:rPr>
          <w:i/>
          <w:iCs/>
          <w:sz w:val="16"/>
          <w:szCs w:val="16"/>
        </w:rPr>
      </w:pPr>
      <w:hyperlink r:id="rId30" w:history="1">
        <w:r w:rsidR="005D332D" w:rsidRPr="00EF3310">
          <w:rPr>
            <w:rStyle w:val="Hyperlink"/>
            <w:i/>
            <w:iCs/>
            <w:color w:val="auto"/>
            <w:sz w:val="16"/>
            <w:szCs w:val="16"/>
          </w:rPr>
          <w:t>The Chinese Medicine Board of Australia</w:t>
        </w:r>
      </w:hyperlink>
      <w:r w:rsidR="005D332D" w:rsidRPr="00EF3310">
        <w:rPr>
          <w:i/>
          <w:iCs/>
          <w:sz w:val="16"/>
          <w:szCs w:val="16"/>
        </w:rPr>
        <w:t xml:space="preserve"> is the regulator of Chinese medicine practitioners in Australia and acts to protect the public by ensuring that suitably qualified and competent Chinese medicine practitioners are registered. The</w:t>
      </w:r>
      <w:r w:rsidR="00075BC2" w:rsidRPr="00EF3310">
        <w:rPr>
          <w:i/>
          <w:iCs/>
          <w:sz w:val="16"/>
          <w:szCs w:val="16"/>
        </w:rPr>
        <w:t> </w:t>
      </w:r>
      <w:r w:rsidR="005D332D" w:rsidRPr="00EF3310">
        <w:rPr>
          <w:i/>
          <w:iCs/>
          <w:sz w:val="16"/>
          <w:szCs w:val="16"/>
        </w:rPr>
        <w:t xml:space="preserve">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31" w:history="1">
        <w:r w:rsidR="005D332D" w:rsidRPr="00EF3310">
          <w:rPr>
            <w:rStyle w:val="Hyperlink"/>
            <w:i/>
            <w:iCs/>
            <w:color w:val="auto"/>
            <w:sz w:val="16"/>
            <w:szCs w:val="16"/>
          </w:rPr>
          <w:t>regulatory principles</w:t>
        </w:r>
      </w:hyperlink>
      <w:r w:rsidR="005D332D" w:rsidRPr="00EF3310">
        <w:rPr>
          <w:i/>
          <w:iCs/>
          <w:sz w:val="16"/>
          <w:szCs w:val="16"/>
        </w:rPr>
        <w:t>, which encourage a responsive, risk-based approach to regulation.</w:t>
      </w:r>
      <w:r w:rsidR="00ED01B4" w:rsidRPr="00EF3310">
        <w:rPr>
          <w:i/>
          <w:iCs/>
          <w:sz w:val="16"/>
          <w:szCs w:val="16"/>
        </w:rPr>
        <w:t xml:space="preserve"> </w:t>
      </w:r>
    </w:p>
    <w:p w:rsidR="00E00104" w:rsidRDefault="005D332D" w:rsidP="00952958">
      <w:pPr>
        <w:autoSpaceDE w:val="0"/>
        <w:autoSpaceDN w:val="0"/>
        <w:adjustRightInd w:val="0"/>
        <w:spacing w:after="0"/>
        <w:rPr>
          <w:i/>
          <w:iCs/>
          <w:sz w:val="16"/>
          <w:szCs w:val="16"/>
        </w:rPr>
      </w:pPr>
      <w:r w:rsidRPr="00EF3310">
        <w:rPr>
          <w:i/>
          <w:iCs/>
          <w:sz w:val="16"/>
          <w:szCs w:val="16"/>
        </w:rPr>
        <w:t>*Except in NSW and Qld which have co-regulatory arrangements.</w:t>
      </w:r>
    </w:p>
    <w:p w:rsidR="00542B52" w:rsidRDefault="00542B52" w:rsidP="00952958">
      <w:pPr>
        <w:autoSpaceDE w:val="0"/>
        <w:autoSpaceDN w:val="0"/>
        <w:adjustRightInd w:val="0"/>
        <w:spacing w:after="0"/>
        <w:rPr>
          <w:i/>
          <w:iCs/>
          <w:sz w:val="16"/>
          <w:szCs w:val="16"/>
        </w:rPr>
      </w:pPr>
    </w:p>
    <w:p w:rsidR="00542B52" w:rsidRDefault="00542B52" w:rsidP="00542B52">
      <w:pPr>
        <w:pStyle w:val="AHPRAfootnote"/>
        <w:spacing w:after="0"/>
      </w:pPr>
      <w:r>
        <w:rPr>
          <w:rStyle w:val="FootnoteReference"/>
        </w:rPr>
        <w:footnoteRef/>
      </w:r>
      <w:r>
        <w:t xml:space="preserve"> The Health Practitioner Regulation National Law, as in force in each state and territory (the National Law). </w:t>
      </w:r>
    </w:p>
    <w:p w:rsidR="00542B52" w:rsidRDefault="00542B52" w:rsidP="00952958">
      <w:pPr>
        <w:autoSpaceDE w:val="0"/>
        <w:autoSpaceDN w:val="0"/>
        <w:adjustRightInd w:val="0"/>
        <w:spacing w:after="0"/>
      </w:pPr>
    </w:p>
    <w:sectPr w:rsidR="00542B52" w:rsidSect="00B05F55">
      <w:headerReference w:type="default" r:id="rId32"/>
      <w:footerReference w:type="even" r:id="rId33"/>
      <w:footerReference w:type="default" r:id="rId34"/>
      <w:headerReference w:type="first" r:id="rId35"/>
      <w:footerReference w:type="first" r:id="rId36"/>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4A" w:rsidRDefault="0016474A" w:rsidP="00A50FC4">
      <w:pPr>
        <w:spacing w:after="0"/>
      </w:pPr>
      <w:r>
        <w:separator/>
      </w:r>
    </w:p>
  </w:endnote>
  <w:endnote w:type="continuationSeparator" w:id="0">
    <w:p w:rsidR="0016474A" w:rsidRDefault="0016474A"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4A" w:rsidRDefault="00BB6540" w:rsidP="00B05F55">
    <w:pPr>
      <w:pStyle w:val="AHPRAfootnote"/>
      <w:framePr w:wrap="around" w:vAnchor="text" w:hAnchor="margin" w:xAlign="right" w:y="1"/>
    </w:pPr>
    <w:r>
      <w:fldChar w:fldCharType="begin"/>
    </w:r>
    <w:r w:rsidR="0016474A">
      <w:instrText xml:space="preserve">PAGE  </w:instrText>
    </w:r>
    <w:r>
      <w:fldChar w:fldCharType="end"/>
    </w:r>
  </w:p>
  <w:p w:rsidR="0016474A" w:rsidRDefault="0016474A" w:rsidP="00B05F55">
    <w:pPr>
      <w:pStyle w:val="AHPRAfootnote"/>
      <w:ind w:right="360"/>
    </w:pPr>
  </w:p>
  <w:p w:rsidR="0016474A" w:rsidRDefault="001647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4A" w:rsidRDefault="0016474A" w:rsidP="00B05F55">
    <w:pPr>
      <w:pStyle w:val="AHPRAfooter"/>
    </w:pPr>
  </w:p>
  <w:p w:rsidR="0016474A" w:rsidRDefault="00D84DA2" w:rsidP="00B05F55">
    <w:pPr>
      <w:pStyle w:val="AHPRAfooter"/>
      <w:rPr>
        <w:szCs w:val="16"/>
      </w:rPr>
    </w:pPr>
    <w:r>
      <w:t>Communiqué – June</w:t>
    </w:r>
    <w:r w:rsidR="0016474A">
      <w:t xml:space="preserve"> 2017 meeting</w:t>
    </w:r>
  </w:p>
  <w:p w:rsidR="0016474A" w:rsidRPr="000E7E28" w:rsidRDefault="00B66EFF" w:rsidP="00B05F55">
    <w:pPr>
      <w:pStyle w:val="AHPRApagenumber"/>
    </w:pPr>
    <w:sdt>
      <w:sdtPr>
        <w:id w:val="16333165"/>
        <w:docPartObj>
          <w:docPartGallery w:val="Page Numbers (Top of Page)"/>
          <w:docPartUnique/>
        </w:docPartObj>
      </w:sdtPr>
      <w:sdtEndPr/>
      <w:sdtContent>
        <w:r w:rsidR="0016474A" w:rsidRPr="000E7E28">
          <w:t xml:space="preserve">Page </w:t>
        </w:r>
        <w:r w:rsidR="00BB6540">
          <w:fldChar w:fldCharType="begin"/>
        </w:r>
        <w:r w:rsidR="00EF0CB0">
          <w:instrText xml:space="preserve"> PAGE </w:instrText>
        </w:r>
        <w:r w:rsidR="00BB6540">
          <w:fldChar w:fldCharType="separate"/>
        </w:r>
        <w:r>
          <w:rPr>
            <w:noProof/>
          </w:rPr>
          <w:t>4</w:t>
        </w:r>
        <w:r w:rsidR="00BB6540">
          <w:rPr>
            <w:noProof/>
          </w:rPr>
          <w:fldChar w:fldCharType="end"/>
        </w:r>
        <w:r w:rsidR="0016474A" w:rsidRPr="000E7E28">
          <w:t xml:space="preserve"> of </w:t>
        </w:r>
        <w:r w:rsidR="00BB6540">
          <w:fldChar w:fldCharType="begin"/>
        </w:r>
        <w:r w:rsidR="00EF0CB0">
          <w:instrText xml:space="preserve"> NUMPAGES  </w:instrText>
        </w:r>
        <w:r w:rsidR="00BB6540">
          <w:fldChar w:fldCharType="separate"/>
        </w:r>
        <w:r>
          <w:rPr>
            <w:noProof/>
          </w:rPr>
          <w:t>4</w:t>
        </w:r>
        <w:r w:rsidR="00BB654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4A" w:rsidRPr="009B2719" w:rsidRDefault="0016474A" w:rsidP="00B05F55">
    <w:pPr>
      <w:pStyle w:val="AHPRAfirstpagefooter"/>
      <w:rPr>
        <w:color w:val="007DC3"/>
        <w:szCs w:val="18"/>
      </w:rPr>
    </w:pPr>
  </w:p>
  <w:p w:rsidR="0016474A" w:rsidRPr="009B2719" w:rsidRDefault="0016474A" w:rsidP="00B05F55">
    <w:pPr>
      <w:pStyle w:val="AHPRAfirstpagefooter"/>
      <w:rPr>
        <w:szCs w:val="18"/>
      </w:rPr>
    </w:pPr>
    <w:r>
      <w:rPr>
        <w:color w:val="007DC3"/>
      </w:rPr>
      <w:t>Chinese Medicine</w:t>
    </w:r>
    <w:r w:rsidRPr="00E77E23">
      <w:t xml:space="preserve"> </w:t>
    </w:r>
    <w:r>
      <w:t>Board of Australia</w:t>
    </w:r>
  </w:p>
  <w:p w:rsidR="0016474A" w:rsidRPr="007C681C" w:rsidRDefault="0016474A"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4A" w:rsidRDefault="0016474A" w:rsidP="00A50FC4">
      <w:pPr>
        <w:spacing w:after="0"/>
      </w:pPr>
      <w:r>
        <w:separator/>
      </w:r>
    </w:p>
  </w:footnote>
  <w:footnote w:type="continuationSeparator" w:id="0">
    <w:p w:rsidR="0016474A" w:rsidRDefault="0016474A" w:rsidP="00A50F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4A" w:rsidRPr="00315933" w:rsidRDefault="0016474A" w:rsidP="00B05F55">
    <w:pPr>
      <w:ind w:left="-1134" w:right="-567"/>
      <w:jc w:val="right"/>
    </w:pPr>
  </w:p>
  <w:p w:rsidR="0016474A" w:rsidRDefault="001647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4A" w:rsidRDefault="0016474A" w:rsidP="00B05F55">
    <w:pPr>
      <w:ind w:right="-51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556A3"/>
    <w:multiLevelType w:val="hybridMultilevel"/>
    <w:tmpl w:val="E7821B2C"/>
    <w:lvl w:ilvl="0" w:tplc="8292B876">
      <w:start w:val="1"/>
      <w:numFmt w:val="bullet"/>
      <w:lvlText w:val=""/>
      <w:lvlJc w:val="left"/>
      <w:pPr>
        <w:ind w:left="720" w:hanging="360"/>
      </w:pPr>
      <w:rPr>
        <w:rFonts w:ascii="Symbol" w:hAnsi="Symbol" w:hint="default"/>
      </w:rPr>
    </w:lvl>
    <w:lvl w:ilvl="1" w:tplc="32E874AE">
      <w:start w:val="1"/>
      <w:numFmt w:val="decimal"/>
      <w:lvlText w:val="%2."/>
      <w:lvlJc w:val="left"/>
      <w:pPr>
        <w:tabs>
          <w:tab w:val="num" w:pos="1440"/>
        </w:tabs>
        <w:ind w:left="1440" w:hanging="360"/>
      </w:pPr>
    </w:lvl>
    <w:lvl w:ilvl="2" w:tplc="A192D028">
      <w:start w:val="1"/>
      <w:numFmt w:val="decimal"/>
      <w:lvlText w:val="%3."/>
      <w:lvlJc w:val="left"/>
      <w:pPr>
        <w:tabs>
          <w:tab w:val="num" w:pos="2160"/>
        </w:tabs>
        <w:ind w:left="2160" w:hanging="360"/>
      </w:pPr>
    </w:lvl>
    <w:lvl w:ilvl="3" w:tplc="2AAA45FA">
      <w:start w:val="1"/>
      <w:numFmt w:val="decimal"/>
      <w:lvlText w:val="%4."/>
      <w:lvlJc w:val="left"/>
      <w:pPr>
        <w:tabs>
          <w:tab w:val="num" w:pos="2880"/>
        </w:tabs>
        <w:ind w:left="2880" w:hanging="360"/>
      </w:pPr>
    </w:lvl>
    <w:lvl w:ilvl="4" w:tplc="1BA6FF52">
      <w:start w:val="1"/>
      <w:numFmt w:val="decimal"/>
      <w:lvlText w:val="%5."/>
      <w:lvlJc w:val="left"/>
      <w:pPr>
        <w:tabs>
          <w:tab w:val="num" w:pos="3600"/>
        </w:tabs>
        <w:ind w:left="3600" w:hanging="360"/>
      </w:pPr>
    </w:lvl>
    <w:lvl w:ilvl="5" w:tplc="70AE4E94">
      <w:start w:val="1"/>
      <w:numFmt w:val="decimal"/>
      <w:lvlText w:val="%6."/>
      <w:lvlJc w:val="left"/>
      <w:pPr>
        <w:tabs>
          <w:tab w:val="num" w:pos="4320"/>
        </w:tabs>
        <w:ind w:left="4320" w:hanging="360"/>
      </w:pPr>
    </w:lvl>
    <w:lvl w:ilvl="6" w:tplc="DD20AEF8">
      <w:start w:val="1"/>
      <w:numFmt w:val="decimal"/>
      <w:lvlText w:val="%7."/>
      <w:lvlJc w:val="left"/>
      <w:pPr>
        <w:tabs>
          <w:tab w:val="num" w:pos="5040"/>
        </w:tabs>
        <w:ind w:left="5040" w:hanging="360"/>
      </w:pPr>
    </w:lvl>
    <w:lvl w:ilvl="7" w:tplc="0E540270">
      <w:start w:val="1"/>
      <w:numFmt w:val="decimal"/>
      <w:lvlText w:val="%8."/>
      <w:lvlJc w:val="left"/>
      <w:pPr>
        <w:tabs>
          <w:tab w:val="num" w:pos="5760"/>
        </w:tabs>
        <w:ind w:left="5760" w:hanging="360"/>
      </w:pPr>
    </w:lvl>
    <w:lvl w:ilvl="8" w:tplc="E072278C">
      <w:start w:val="1"/>
      <w:numFmt w:val="decimal"/>
      <w:lvlText w:val="%9."/>
      <w:lvlJc w:val="left"/>
      <w:pPr>
        <w:tabs>
          <w:tab w:val="num" w:pos="6480"/>
        </w:tabs>
        <w:ind w:left="6480" w:hanging="360"/>
      </w:pPr>
    </w:lvl>
  </w:abstractNum>
  <w:abstractNum w:abstractNumId="6" w15:restartNumberingAfterBreak="0">
    <w:nsid w:val="1CA52054"/>
    <w:multiLevelType w:val="hybridMultilevel"/>
    <w:tmpl w:val="CD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10" w15:restartNumberingAfterBreak="0">
    <w:nsid w:val="45882FF1"/>
    <w:multiLevelType w:val="hybridMultilevel"/>
    <w:tmpl w:val="BA3E84C4"/>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0409000F">
      <w:start w:val="1"/>
      <w:numFmt w:val="bullet"/>
      <w:pStyle w:val="AHPRABulletlevel1"/>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49297437"/>
    <w:multiLevelType w:val="hybridMultilevel"/>
    <w:tmpl w:val="6BB47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EE732B1"/>
    <w:multiLevelType w:val="multilevel"/>
    <w:tmpl w:val="B8701A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13504"/>
    <w:multiLevelType w:val="hybridMultilevel"/>
    <w:tmpl w:val="F618AC3E"/>
    <w:lvl w:ilvl="0" w:tplc="BBCC2522">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5"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6" w15:restartNumberingAfterBreak="0">
    <w:nsid w:val="6ACC55E0"/>
    <w:multiLevelType w:val="hybridMultilevel"/>
    <w:tmpl w:val="C96835DA"/>
    <w:lvl w:ilvl="0" w:tplc="AA0C1FD8">
      <w:start w:val="1"/>
      <w:numFmt w:val="bullet"/>
      <w:pStyle w:val="AHPRABulletlevel3"/>
      <w:lvlText w:val="o"/>
      <w:lvlJc w:val="left"/>
      <w:pPr>
        <w:ind w:left="1440" w:hanging="360"/>
      </w:pPr>
      <w:rPr>
        <w:rFonts w:ascii="Courier New" w:hAnsi="Courier New" w:cs="Courier New" w:hint="default"/>
      </w:rPr>
    </w:lvl>
    <w:lvl w:ilvl="1" w:tplc="F90E123C" w:tentative="1">
      <w:start w:val="1"/>
      <w:numFmt w:val="bullet"/>
      <w:lvlText w:val="o"/>
      <w:lvlJc w:val="left"/>
      <w:pPr>
        <w:ind w:left="2160" w:hanging="360"/>
      </w:pPr>
      <w:rPr>
        <w:rFonts w:ascii="Courier New" w:hAnsi="Courier New" w:cs="Courier New" w:hint="default"/>
      </w:rPr>
    </w:lvl>
    <w:lvl w:ilvl="2" w:tplc="E3942384" w:tentative="1">
      <w:start w:val="1"/>
      <w:numFmt w:val="bullet"/>
      <w:lvlText w:val=""/>
      <w:lvlJc w:val="left"/>
      <w:pPr>
        <w:ind w:left="2880" w:hanging="360"/>
      </w:pPr>
      <w:rPr>
        <w:rFonts w:ascii="Wingdings" w:hAnsi="Wingdings" w:hint="default"/>
      </w:rPr>
    </w:lvl>
    <w:lvl w:ilvl="3" w:tplc="DBA60C30" w:tentative="1">
      <w:start w:val="1"/>
      <w:numFmt w:val="bullet"/>
      <w:lvlText w:val=""/>
      <w:lvlJc w:val="left"/>
      <w:pPr>
        <w:ind w:left="3600" w:hanging="360"/>
      </w:pPr>
      <w:rPr>
        <w:rFonts w:ascii="Symbol" w:hAnsi="Symbol" w:hint="default"/>
      </w:rPr>
    </w:lvl>
    <w:lvl w:ilvl="4" w:tplc="E0FC9D48" w:tentative="1">
      <w:start w:val="1"/>
      <w:numFmt w:val="bullet"/>
      <w:lvlText w:val="o"/>
      <w:lvlJc w:val="left"/>
      <w:pPr>
        <w:ind w:left="4320" w:hanging="360"/>
      </w:pPr>
      <w:rPr>
        <w:rFonts w:ascii="Courier New" w:hAnsi="Courier New" w:cs="Courier New" w:hint="default"/>
      </w:rPr>
    </w:lvl>
    <w:lvl w:ilvl="5" w:tplc="47C83E12" w:tentative="1">
      <w:start w:val="1"/>
      <w:numFmt w:val="bullet"/>
      <w:lvlText w:val=""/>
      <w:lvlJc w:val="left"/>
      <w:pPr>
        <w:ind w:left="5040" w:hanging="360"/>
      </w:pPr>
      <w:rPr>
        <w:rFonts w:ascii="Wingdings" w:hAnsi="Wingdings" w:hint="default"/>
      </w:rPr>
    </w:lvl>
    <w:lvl w:ilvl="6" w:tplc="900EE2EE" w:tentative="1">
      <w:start w:val="1"/>
      <w:numFmt w:val="bullet"/>
      <w:lvlText w:val=""/>
      <w:lvlJc w:val="left"/>
      <w:pPr>
        <w:ind w:left="5760" w:hanging="360"/>
      </w:pPr>
      <w:rPr>
        <w:rFonts w:ascii="Symbol" w:hAnsi="Symbol" w:hint="default"/>
      </w:rPr>
    </w:lvl>
    <w:lvl w:ilvl="7" w:tplc="5AFC08BC" w:tentative="1">
      <w:start w:val="1"/>
      <w:numFmt w:val="bullet"/>
      <w:lvlText w:val="o"/>
      <w:lvlJc w:val="left"/>
      <w:pPr>
        <w:ind w:left="6480" w:hanging="360"/>
      </w:pPr>
      <w:rPr>
        <w:rFonts w:ascii="Courier New" w:hAnsi="Courier New" w:cs="Courier New" w:hint="default"/>
      </w:rPr>
    </w:lvl>
    <w:lvl w:ilvl="8" w:tplc="604217C2" w:tentative="1">
      <w:start w:val="1"/>
      <w:numFmt w:val="bullet"/>
      <w:lvlText w:val=""/>
      <w:lvlJc w:val="left"/>
      <w:pPr>
        <w:ind w:left="7200" w:hanging="360"/>
      </w:pPr>
      <w:rPr>
        <w:rFonts w:ascii="Wingdings" w:hAnsi="Wingdings" w:hint="default"/>
      </w:rPr>
    </w:lvl>
  </w:abstractNum>
  <w:abstractNum w:abstractNumId="17" w15:restartNumberingAfterBreak="0">
    <w:nsid w:val="75050B09"/>
    <w:multiLevelType w:val="multilevel"/>
    <w:tmpl w:val="001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E154B0"/>
    <w:multiLevelType w:val="multilevel"/>
    <w:tmpl w:val="C4183F12"/>
    <w:numStyleLink w:val="AHPRANumberedlist"/>
  </w:abstractNum>
  <w:abstractNum w:abstractNumId="19" w15:restartNumberingAfterBreak="0">
    <w:nsid w:val="7C2610BB"/>
    <w:multiLevelType w:val="hybridMultilevel"/>
    <w:tmpl w:val="FF68D3AC"/>
    <w:lvl w:ilvl="0" w:tplc="49187862">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0"/>
  </w:num>
  <w:num w:numId="2">
    <w:abstractNumId w:val="19"/>
  </w:num>
  <w:num w:numId="3">
    <w:abstractNumId w:val="16"/>
  </w:num>
  <w:num w:numId="4">
    <w:abstractNumId w:val="15"/>
  </w:num>
  <w:num w:numId="5">
    <w:abstractNumId w:val="15"/>
    <w:lvlOverride w:ilvl="0">
      <w:lvl w:ilvl="0">
        <w:start w:val="1"/>
        <w:numFmt w:val="decimal"/>
        <w:lvlText w:val="%1"/>
        <w:lvlJc w:val="left"/>
        <w:pPr>
          <w:ind w:left="284" w:hanging="284"/>
        </w:pPr>
        <w:rPr>
          <w:rFonts w:ascii="Arial" w:hAnsi="Arial" w:hint="default"/>
          <w:b/>
          <w:color w:val="008EC4"/>
          <w:sz w:val="20"/>
        </w:rPr>
      </w:lvl>
    </w:lvlOverride>
  </w:num>
  <w:num w:numId="6">
    <w:abstractNumId w:val="3"/>
  </w:num>
  <w:num w:numId="7">
    <w:abstractNumId w:val="1"/>
  </w:num>
  <w:num w:numId="8">
    <w:abstractNumId w:val="20"/>
  </w:num>
  <w:num w:numId="9">
    <w:abstractNumId w:val="2"/>
  </w:num>
  <w:num w:numId="10">
    <w:abstractNumId w:val="14"/>
  </w:num>
  <w:num w:numId="11">
    <w:abstractNumId w:val="11"/>
  </w:num>
  <w:num w:numId="12">
    <w:abstractNumId w:val="7"/>
  </w:num>
  <w:num w:numId="13">
    <w:abstractNumId w:val="9"/>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lvl w:ilvl="0">
        <w:numFmt w:val="lowerLetter"/>
        <w:lvlText w:val="%1."/>
        <w:lvlJc w:val="left"/>
      </w:lvl>
    </w:lvlOverride>
  </w:num>
  <w:num w:numId="17">
    <w:abstractNumId w:val="5"/>
  </w:num>
  <w:num w:numId="18">
    <w:abstractNumId w:val="8"/>
  </w:num>
  <w:num w:numId="19">
    <w:abstractNumId w:val="11"/>
  </w:num>
  <w:num w:numId="20">
    <w:abstractNumId w:val="6"/>
  </w:num>
  <w:num w:numId="21">
    <w:abstractNumId w:val="1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FF9"/>
    <w:rsid w:val="00000DC7"/>
    <w:rsid w:val="000123C8"/>
    <w:rsid w:val="00020BAC"/>
    <w:rsid w:val="00020FE8"/>
    <w:rsid w:val="00027DD5"/>
    <w:rsid w:val="000345CD"/>
    <w:rsid w:val="00035486"/>
    <w:rsid w:val="000369CB"/>
    <w:rsid w:val="0004259E"/>
    <w:rsid w:val="00054ED9"/>
    <w:rsid w:val="00056EAE"/>
    <w:rsid w:val="0006030A"/>
    <w:rsid w:val="000658E4"/>
    <w:rsid w:val="00067958"/>
    <w:rsid w:val="00071003"/>
    <w:rsid w:val="00075163"/>
    <w:rsid w:val="00075BC2"/>
    <w:rsid w:val="00084EA6"/>
    <w:rsid w:val="00085E4A"/>
    <w:rsid w:val="000877E7"/>
    <w:rsid w:val="0009319D"/>
    <w:rsid w:val="000A12DF"/>
    <w:rsid w:val="000A451F"/>
    <w:rsid w:val="000A60A5"/>
    <w:rsid w:val="000B1C0A"/>
    <w:rsid w:val="000B3FF3"/>
    <w:rsid w:val="000B6844"/>
    <w:rsid w:val="000C2E1C"/>
    <w:rsid w:val="000C5E4B"/>
    <w:rsid w:val="000F227F"/>
    <w:rsid w:val="000F5C65"/>
    <w:rsid w:val="00103D73"/>
    <w:rsid w:val="001075DE"/>
    <w:rsid w:val="00114227"/>
    <w:rsid w:val="00114463"/>
    <w:rsid w:val="00117F2F"/>
    <w:rsid w:val="001209FB"/>
    <w:rsid w:val="0012111B"/>
    <w:rsid w:val="001353FE"/>
    <w:rsid w:val="00142951"/>
    <w:rsid w:val="001477D2"/>
    <w:rsid w:val="00157DFB"/>
    <w:rsid w:val="001613C4"/>
    <w:rsid w:val="0016474A"/>
    <w:rsid w:val="00183FCE"/>
    <w:rsid w:val="00187031"/>
    <w:rsid w:val="001A25E1"/>
    <w:rsid w:val="001A6ACF"/>
    <w:rsid w:val="001B0A0D"/>
    <w:rsid w:val="001C3094"/>
    <w:rsid w:val="001D0611"/>
    <w:rsid w:val="001E213A"/>
    <w:rsid w:val="001E2EF6"/>
    <w:rsid w:val="001F2F06"/>
    <w:rsid w:val="0020414F"/>
    <w:rsid w:val="00205CA8"/>
    <w:rsid w:val="0021661C"/>
    <w:rsid w:val="00223F53"/>
    <w:rsid w:val="0024223A"/>
    <w:rsid w:val="0024797D"/>
    <w:rsid w:val="00252D5F"/>
    <w:rsid w:val="00253506"/>
    <w:rsid w:val="00253B4F"/>
    <w:rsid w:val="00254D63"/>
    <w:rsid w:val="00254F1F"/>
    <w:rsid w:val="002602FB"/>
    <w:rsid w:val="002616C8"/>
    <w:rsid w:val="002618A9"/>
    <w:rsid w:val="00265BC4"/>
    <w:rsid w:val="00265C1E"/>
    <w:rsid w:val="002775D4"/>
    <w:rsid w:val="00290FE2"/>
    <w:rsid w:val="0029144F"/>
    <w:rsid w:val="00296A0A"/>
    <w:rsid w:val="002A5C4F"/>
    <w:rsid w:val="002A6DFF"/>
    <w:rsid w:val="002B44E9"/>
    <w:rsid w:val="002B6E13"/>
    <w:rsid w:val="002C0513"/>
    <w:rsid w:val="002D0685"/>
    <w:rsid w:val="002D0774"/>
    <w:rsid w:val="002D3B21"/>
    <w:rsid w:val="002D4126"/>
    <w:rsid w:val="002E290C"/>
    <w:rsid w:val="002E6A8B"/>
    <w:rsid w:val="002F0763"/>
    <w:rsid w:val="002F26BE"/>
    <w:rsid w:val="002F746A"/>
    <w:rsid w:val="003016C4"/>
    <w:rsid w:val="0030612B"/>
    <w:rsid w:val="00310164"/>
    <w:rsid w:val="00310DEE"/>
    <w:rsid w:val="00311679"/>
    <w:rsid w:val="00312C56"/>
    <w:rsid w:val="00320EE8"/>
    <w:rsid w:val="00373811"/>
    <w:rsid w:val="0037742E"/>
    <w:rsid w:val="00377B13"/>
    <w:rsid w:val="003843BE"/>
    <w:rsid w:val="003912EF"/>
    <w:rsid w:val="00392068"/>
    <w:rsid w:val="00395004"/>
    <w:rsid w:val="00397BC3"/>
    <w:rsid w:val="003A5D20"/>
    <w:rsid w:val="003B17C8"/>
    <w:rsid w:val="003B78E5"/>
    <w:rsid w:val="003C3A65"/>
    <w:rsid w:val="003D24C1"/>
    <w:rsid w:val="003D290B"/>
    <w:rsid w:val="003E2623"/>
    <w:rsid w:val="003E55D1"/>
    <w:rsid w:val="003F027B"/>
    <w:rsid w:val="003F4318"/>
    <w:rsid w:val="003F4588"/>
    <w:rsid w:val="00411E5C"/>
    <w:rsid w:val="004140A7"/>
    <w:rsid w:val="00420ACD"/>
    <w:rsid w:val="004215DF"/>
    <w:rsid w:val="00421ABE"/>
    <w:rsid w:val="00424E83"/>
    <w:rsid w:val="00425096"/>
    <w:rsid w:val="004327BD"/>
    <w:rsid w:val="00433692"/>
    <w:rsid w:val="00434412"/>
    <w:rsid w:val="00436FE9"/>
    <w:rsid w:val="00437106"/>
    <w:rsid w:val="00441EB6"/>
    <w:rsid w:val="0045209E"/>
    <w:rsid w:val="00452395"/>
    <w:rsid w:val="00452E2F"/>
    <w:rsid w:val="00462281"/>
    <w:rsid w:val="00463BD7"/>
    <w:rsid w:val="00463EF2"/>
    <w:rsid w:val="004921B1"/>
    <w:rsid w:val="00492984"/>
    <w:rsid w:val="00492E18"/>
    <w:rsid w:val="00496E40"/>
    <w:rsid w:val="004975C9"/>
    <w:rsid w:val="004A4664"/>
    <w:rsid w:val="004C1D71"/>
    <w:rsid w:val="004C7579"/>
    <w:rsid w:val="004D6F3A"/>
    <w:rsid w:val="004E6F40"/>
    <w:rsid w:val="004F1AAF"/>
    <w:rsid w:val="004F23CA"/>
    <w:rsid w:val="004F441A"/>
    <w:rsid w:val="004F58CA"/>
    <w:rsid w:val="004F6393"/>
    <w:rsid w:val="00504DAA"/>
    <w:rsid w:val="005060C6"/>
    <w:rsid w:val="00516715"/>
    <w:rsid w:val="005200A5"/>
    <w:rsid w:val="005200D4"/>
    <w:rsid w:val="005338B8"/>
    <w:rsid w:val="00537C42"/>
    <w:rsid w:val="00542B52"/>
    <w:rsid w:val="00543747"/>
    <w:rsid w:val="00550C45"/>
    <w:rsid w:val="00555364"/>
    <w:rsid w:val="00561081"/>
    <w:rsid w:val="00565471"/>
    <w:rsid w:val="00574F62"/>
    <w:rsid w:val="00587C3A"/>
    <w:rsid w:val="00590EE5"/>
    <w:rsid w:val="00596981"/>
    <w:rsid w:val="005A0E1E"/>
    <w:rsid w:val="005A1F09"/>
    <w:rsid w:val="005A4523"/>
    <w:rsid w:val="005B0DAC"/>
    <w:rsid w:val="005B45A0"/>
    <w:rsid w:val="005B4FE7"/>
    <w:rsid w:val="005B7967"/>
    <w:rsid w:val="005C77F9"/>
    <w:rsid w:val="005D332D"/>
    <w:rsid w:val="005F6FC7"/>
    <w:rsid w:val="00601522"/>
    <w:rsid w:val="006108CB"/>
    <w:rsid w:val="00617B67"/>
    <w:rsid w:val="00633DA3"/>
    <w:rsid w:val="0063627E"/>
    <w:rsid w:val="0064705B"/>
    <w:rsid w:val="00650233"/>
    <w:rsid w:val="00650C87"/>
    <w:rsid w:val="00661F62"/>
    <w:rsid w:val="006631C7"/>
    <w:rsid w:val="00677100"/>
    <w:rsid w:val="00681F10"/>
    <w:rsid w:val="006860CF"/>
    <w:rsid w:val="0068775D"/>
    <w:rsid w:val="00690AAA"/>
    <w:rsid w:val="00696770"/>
    <w:rsid w:val="0069700E"/>
    <w:rsid w:val="006A2B31"/>
    <w:rsid w:val="006A3324"/>
    <w:rsid w:val="006A50C5"/>
    <w:rsid w:val="006A592D"/>
    <w:rsid w:val="006A685C"/>
    <w:rsid w:val="006B6AEC"/>
    <w:rsid w:val="006C236D"/>
    <w:rsid w:val="006C3AB4"/>
    <w:rsid w:val="006D2149"/>
    <w:rsid w:val="006D3CD5"/>
    <w:rsid w:val="006D4A47"/>
    <w:rsid w:val="006F3942"/>
    <w:rsid w:val="006F77C1"/>
    <w:rsid w:val="0070501D"/>
    <w:rsid w:val="00720B10"/>
    <w:rsid w:val="00722FF3"/>
    <w:rsid w:val="00730521"/>
    <w:rsid w:val="00740EAE"/>
    <w:rsid w:val="00745A15"/>
    <w:rsid w:val="00750168"/>
    <w:rsid w:val="00750EFD"/>
    <w:rsid w:val="00764B81"/>
    <w:rsid w:val="00772B6D"/>
    <w:rsid w:val="00782B88"/>
    <w:rsid w:val="00791057"/>
    <w:rsid w:val="0079356A"/>
    <w:rsid w:val="007B2231"/>
    <w:rsid w:val="007B3A05"/>
    <w:rsid w:val="007B6926"/>
    <w:rsid w:val="007C20B6"/>
    <w:rsid w:val="007C5B46"/>
    <w:rsid w:val="007D0FB0"/>
    <w:rsid w:val="007D63E8"/>
    <w:rsid w:val="007F3C5D"/>
    <w:rsid w:val="00805D13"/>
    <w:rsid w:val="00807217"/>
    <w:rsid w:val="0080753E"/>
    <w:rsid w:val="0081454B"/>
    <w:rsid w:val="008209D8"/>
    <w:rsid w:val="00827419"/>
    <w:rsid w:val="00845E44"/>
    <w:rsid w:val="0084634D"/>
    <w:rsid w:val="0085155F"/>
    <w:rsid w:val="008668A0"/>
    <w:rsid w:val="00874625"/>
    <w:rsid w:val="008750EC"/>
    <w:rsid w:val="0088496F"/>
    <w:rsid w:val="00884AC7"/>
    <w:rsid w:val="00891F87"/>
    <w:rsid w:val="008961C1"/>
    <w:rsid w:val="008973A8"/>
    <w:rsid w:val="008A04AC"/>
    <w:rsid w:val="008A41C0"/>
    <w:rsid w:val="008B3BBD"/>
    <w:rsid w:val="008B5120"/>
    <w:rsid w:val="008C4361"/>
    <w:rsid w:val="008D7DA3"/>
    <w:rsid w:val="008F1139"/>
    <w:rsid w:val="008F2C17"/>
    <w:rsid w:val="008F592C"/>
    <w:rsid w:val="00913E11"/>
    <w:rsid w:val="00940873"/>
    <w:rsid w:val="009423AC"/>
    <w:rsid w:val="00943C2E"/>
    <w:rsid w:val="00952958"/>
    <w:rsid w:val="00952B1A"/>
    <w:rsid w:val="00955125"/>
    <w:rsid w:val="009570BD"/>
    <w:rsid w:val="00960A03"/>
    <w:rsid w:val="00967A75"/>
    <w:rsid w:val="00980997"/>
    <w:rsid w:val="00993AEB"/>
    <w:rsid w:val="009A1F1C"/>
    <w:rsid w:val="009A4892"/>
    <w:rsid w:val="009B63F2"/>
    <w:rsid w:val="009C29A8"/>
    <w:rsid w:val="009C396E"/>
    <w:rsid w:val="009C6781"/>
    <w:rsid w:val="009D035E"/>
    <w:rsid w:val="009D7CDD"/>
    <w:rsid w:val="009F5B35"/>
    <w:rsid w:val="00A05251"/>
    <w:rsid w:val="00A14B14"/>
    <w:rsid w:val="00A22955"/>
    <w:rsid w:val="00A22D7B"/>
    <w:rsid w:val="00A258F7"/>
    <w:rsid w:val="00A25A56"/>
    <w:rsid w:val="00A25D7B"/>
    <w:rsid w:val="00A26988"/>
    <w:rsid w:val="00A27872"/>
    <w:rsid w:val="00A3087F"/>
    <w:rsid w:val="00A420B0"/>
    <w:rsid w:val="00A46D70"/>
    <w:rsid w:val="00A50FC4"/>
    <w:rsid w:val="00A55393"/>
    <w:rsid w:val="00A5578F"/>
    <w:rsid w:val="00A763F7"/>
    <w:rsid w:val="00A862A1"/>
    <w:rsid w:val="00A9381B"/>
    <w:rsid w:val="00AA04D4"/>
    <w:rsid w:val="00AB2363"/>
    <w:rsid w:val="00AB5387"/>
    <w:rsid w:val="00AC45E2"/>
    <w:rsid w:val="00AC5BE2"/>
    <w:rsid w:val="00AD45F6"/>
    <w:rsid w:val="00AD4F21"/>
    <w:rsid w:val="00AD5907"/>
    <w:rsid w:val="00AE5D09"/>
    <w:rsid w:val="00AF1DE0"/>
    <w:rsid w:val="00AF28A0"/>
    <w:rsid w:val="00B05F55"/>
    <w:rsid w:val="00B17E8C"/>
    <w:rsid w:val="00B20001"/>
    <w:rsid w:val="00B2352C"/>
    <w:rsid w:val="00B27053"/>
    <w:rsid w:val="00B30BF2"/>
    <w:rsid w:val="00B33023"/>
    <w:rsid w:val="00B5027B"/>
    <w:rsid w:val="00B629B5"/>
    <w:rsid w:val="00B64372"/>
    <w:rsid w:val="00B650E0"/>
    <w:rsid w:val="00B66EFF"/>
    <w:rsid w:val="00B71C86"/>
    <w:rsid w:val="00B72B2D"/>
    <w:rsid w:val="00B77108"/>
    <w:rsid w:val="00B82481"/>
    <w:rsid w:val="00B878E0"/>
    <w:rsid w:val="00B917DD"/>
    <w:rsid w:val="00BA68C0"/>
    <w:rsid w:val="00BB2BD5"/>
    <w:rsid w:val="00BB6540"/>
    <w:rsid w:val="00BC0952"/>
    <w:rsid w:val="00BC39D2"/>
    <w:rsid w:val="00BC3BE2"/>
    <w:rsid w:val="00BD4AAF"/>
    <w:rsid w:val="00BD7AAA"/>
    <w:rsid w:val="00BE7F19"/>
    <w:rsid w:val="00BF2CDD"/>
    <w:rsid w:val="00BF2F61"/>
    <w:rsid w:val="00BF2F7E"/>
    <w:rsid w:val="00C005BE"/>
    <w:rsid w:val="00C00F4E"/>
    <w:rsid w:val="00C03A7D"/>
    <w:rsid w:val="00C10089"/>
    <w:rsid w:val="00C137D1"/>
    <w:rsid w:val="00C16F4F"/>
    <w:rsid w:val="00C20164"/>
    <w:rsid w:val="00C2467B"/>
    <w:rsid w:val="00C27137"/>
    <w:rsid w:val="00C27C66"/>
    <w:rsid w:val="00C30F20"/>
    <w:rsid w:val="00C3785A"/>
    <w:rsid w:val="00C47DC3"/>
    <w:rsid w:val="00C500A2"/>
    <w:rsid w:val="00C52588"/>
    <w:rsid w:val="00C64B4B"/>
    <w:rsid w:val="00C725E9"/>
    <w:rsid w:val="00C74134"/>
    <w:rsid w:val="00C854F0"/>
    <w:rsid w:val="00C85E8F"/>
    <w:rsid w:val="00CA1E6F"/>
    <w:rsid w:val="00CB01E9"/>
    <w:rsid w:val="00CB541D"/>
    <w:rsid w:val="00CB5789"/>
    <w:rsid w:val="00CC03AE"/>
    <w:rsid w:val="00CC336F"/>
    <w:rsid w:val="00CC583E"/>
    <w:rsid w:val="00CC6EF3"/>
    <w:rsid w:val="00CD76B3"/>
    <w:rsid w:val="00D015B0"/>
    <w:rsid w:val="00D226CE"/>
    <w:rsid w:val="00D3080F"/>
    <w:rsid w:val="00D40008"/>
    <w:rsid w:val="00D410CE"/>
    <w:rsid w:val="00D50926"/>
    <w:rsid w:val="00D5650E"/>
    <w:rsid w:val="00D566E1"/>
    <w:rsid w:val="00D61E87"/>
    <w:rsid w:val="00D65CAD"/>
    <w:rsid w:val="00D67539"/>
    <w:rsid w:val="00D82C69"/>
    <w:rsid w:val="00D84DA2"/>
    <w:rsid w:val="00D86665"/>
    <w:rsid w:val="00D90FF9"/>
    <w:rsid w:val="00D91E11"/>
    <w:rsid w:val="00D92842"/>
    <w:rsid w:val="00DA26B0"/>
    <w:rsid w:val="00DA61CF"/>
    <w:rsid w:val="00DC638C"/>
    <w:rsid w:val="00DD5BD7"/>
    <w:rsid w:val="00DE42FB"/>
    <w:rsid w:val="00DE6BFF"/>
    <w:rsid w:val="00DE71A6"/>
    <w:rsid w:val="00E00104"/>
    <w:rsid w:val="00E067BB"/>
    <w:rsid w:val="00E06B53"/>
    <w:rsid w:val="00E3161B"/>
    <w:rsid w:val="00E34EDB"/>
    <w:rsid w:val="00E47709"/>
    <w:rsid w:val="00E55597"/>
    <w:rsid w:val="00E56FF7"/>
    <w:rsid w:val="00E67A1D"/>
    <w:rsid w:val="00E67A60"/>
    <w:rsid w:val="00E70733"/>
    <w:rsid w:val="00E76FD3"/>
    <w:rsid w:val="00E82F49"/>
    <w:rsid w:val="00E83199"/>
    <w:rsid w:val="00E90B51"/>
    <w:rsid w:val="00E93835"/>
    <w:rsid w:val="00EA3814"/>
    <w:rsid w:val="00EA7501"/>
    <w:rsid w:val="00EC274D"/>
    <w:rsid w:val="00EC6D88"/>
    <w:rsid w:val="00ED01B4"/>
    <w:rsid w:val="00ED6B66"/>
    <w:rsid w:val="00EE2351"/>
    <w:rsid w:val="00EE2489"/>
    <w:rsid w:val="00EF0CB0"/>
    <w:rsid w:val="00EF1771"/>
    <w:rsid w:val="00EF217D"/>
    <w:rsid w:val="00EF3310"/>
    <w:rsid w:val="00F0122A"/>
    <w:rsid w:val="00F04C53"/>
    <w:rsid w:val="00F06695"/>
    <w:rsid w:val="00F164CF"/>
    <w:rsid w:val="00F171D6"/>
    <w:rsid w:val="00F3072C"/>
    <w:rsid w:val="00F464FF"/>
    <w:rsid w:val="00F468E4"/>
    <w:rsid w:val="00F54F72"/>
    <w:rsid w:val="00F56FC0"/>
    <w:rsid w:val="00F6437C"/>
    <w:rsid w:val="00F65D97"/>
    <w:rsid w:val="00F67482"/>
    <w:rsid w:val="00F70185"/>
    <w:rsid w:val="00F81827"/>
    <w:rsid w:val="00F976E4"/>
    <w:rsid w:val="00FA0FCE"/>
    <w:rsid w:val="00FA52D4"/>
    <w:rsid w:val="00FA6A56"/>
    <w:rsid w:val="00FB07C5"/>
    <w:rsid w:val="00FB46EC"/>
    <w:rsid w:val="00FC7E58"/>
    <w:rsid w:val="00FD0E61"/>
    <w:rsid w:val="00FD46A6"/>
    <w:rsid w:val="00FD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647C0C99-DF51-4CF4-9DEB-A8549569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11679"/>
    <w:rPr>
      <w:sz w:val="20"/>
      <w:szCs w:val="20"/>
    </w:rPr>
  </w:style>
  <w:style w:type="character" w:customStyle="1" w:styleId="FootnoteTextChar">
    <w:name w:val="Footnote Text Char"/>
    <w:basedOn w:val="DefaultParagraphFont"/>
    <w:link w:val="FootnoteText"/>
    <w:uiPriority w:val="99"/>
    <w:semiHidden/>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1"/>
    <w:unhideWhenUsed/>
    <w:rsid w:val="00311679"/>
    <w:rPr>
      <w:sz w:val="16"/>
      <w:szCs w:val="16"/>
    </w:rPr>
  </w:style>
  <w:style w:type="paragraph" w:styleId="CommentText">
    <w:name w:val="annotation text"/>
    <w:basedOn w:val="Normal"/>
    <w:link w:val="CommentTextChar"/>
    <w:uiPriority w:val="1"/>
    <w:unhideWhenUsed/>
    <w:rsid w:val="00311679"/>
    <w:rPr>
      <w:sz w:val="20"/>
      <w:szCs w:val="20"/>
    </w:rPr>
  </w:style>
  <w:style w:type="character" w:customStyle="1" w:styleId="CommentTextChar">
    <w:name w:val="Comment Text Char"/>
    <w:basedOn w:val="DefaultParagraphFont"/>
    <w:link w:val="CommentText"/>
    <w:uiPriority w:val="1"/>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D86665"/>
    <w:pPr>
      <w:spacing w:after="0"/>
    </w:pPr>
    <w:rPr>
      <w:rFonts w:eastAsia="Calibri" w:cs="Arial"/>
      <w:sz w:val="20"/>
      <w:szCs w:val="20"/>
      <w:lang w:eastAsia="en-AU"/>
    </w:rPr>
  </w:style>
  <w:style w:type="paragraph" w:customStyle="1" w:styleId="AHPRAitemheading">
    <w:name w:val="AHPRA item heading"/>
    <w:basedOn w:val="AHPRASubheading"/>
    <w:next w:val="Normal"/>
    <w:uiPriority w:val="99"/>
    <w:rsid w:val="00AD5907"/>
    <w:pPr>
      <w:numPr>
        <w:numId w:val="12"/>
      </w:numPr>
    </w:pPr>
    <w:rPr>
      <w:lang w:val="en-US"/>
    </w:rPr>
  </w:style>
  <w:style w:type="paragraph" w:customStyle="1" w:styleId="AHPRAitemlevel2">
    <w:name w:val="AHPRA item level 2"/>
    <w:basedOn w:val="AHPRASubheading"/>
    <w:uiPriority w:val="99"/>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hpra.gov.au/News/2017-05-17-registration-opens-for-clear.aspx" TargetMode="External"/><Relationship Id="rId18" Type="http://schemas.openxmlformats.org/officeDocument/2006/relationships/hyperlink" Target="https://twitter.com/AHPRA" TargetMode="External"/><Relationship Id="rId26" Type="http://schemas.openxmlformats.org/officeDocument/2006/relationships/hyperlink" Target="http://www.chinesemedicineboard.gov.au" TargetMode="External"/><Relationship Id="rId21" Type="http://schemas.openxmlformats.org/officeDocument/2006/relationships/image" Target="cid:image001.png@01D29412.B22B9AD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h.gov.au/Parliamentary_Business/Committees/Senate/Community_Affairs/ComplaintsMechanism/Report" TargetMode="External"/><Relationship Id="rId17" Type="http://schemas.openxmlformats.org/officeDocument/2006/relationships/hyperlink" Target="https://www.facebook.com/ahpra.gov.au/" TargetMode="External"/><Relationship Id="rId25" Type="http://schemas.openxmlformats.org/officeDocument/2006/relationships/image" Target="cid:image003.png@01D29412.B22B9AD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hpra.gov.au/Publications/Advertising-resources.aspx" TargetMode="External"/><Relationship Id="rId20" Type="http://schemas.openxmlformats.org/officeDocument/2006/relationships/image" Target="media/image2.png"/><Relationship Id="rId29" Type="http://schemas.openxmlformats.org/officeDocument/2006/relationships/hyperlink" Target="https://www.ahpra.gov.au/About-AHPRA/Contact-Us/Make-an-Enqui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About/Reference-group.aspx" TargetMode="External"/><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pra.gov.au/About-AHPRA/Contact-Us.aspx" TargetMode="External"/><Relationship Id="rId23" Type="http://schemas.openxmlformats.org/officeDocument/2006/relationships/image" Target="cid:image002.png@01D29412.B22B9AD0" TargetMode="External"/><Relationship Id="rId28" Type="http://schemas.openxmlformats.org/officeDocument/2006/relationships/hyperlink" Target="http://www.ahpra.gov.au/About-AHPRA/Contact-Us.aspx" TargetMode="External"/><Relationship Id="rId36" Type="http://schemas.openxmlformats.org/officeDocument/2006/relationships/footer" Target="footer3.xml"/><Relationship Id="rId10" Type="http://schemas.openxmlformats.org/officeDocument/2006/relationships/hyperlink" Target="mailto:http://dfat.gov.au/people-to-people/foundations-councils-institutes/australia-china-council/Pages/australia-china-council.aspx" TargetMode="External"/><Relationship Id="rId19" Type="http://schemas.openxmlformats.org/officeDocument/2006/relationships/hyperlink" Target="https://www.linkedin.com/company/australian-health-practitioner-regulation-agency" TargetMode="External"/><Relationship Id="rId31" Type="http://schemas.openxmlformats.org/officeDocument/2006/relationships/hyperlink" Target="https://www.ahpra.gov.au/About-AHPRA/Regulatory-principles.aspx" TargetMode="Externa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www.chinesemedicineboard.gov.au/" TargetMode="External"/><Relationship Id="rId22" Type="http://schemas.openxmlformats.org/officeDocument/2006/relationships/image" Target="media/image3.png"/><Relationship Id="rId27" Type="http://schemas.openxmlformats.org/officeDocument/2006/relationships/hyperlink" Target="http://www.ahpra.gov.au" TargetMode="External"/><Relationship Id="rId30" Type="http://schemas.openxmlformats.org/officeDocument/2006/relationships/hyperlink" Target="http://www.chinesemedicineboard.gov.au/"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D5523-FC5A-45CE-8AC0-330C7298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of the Chinese Medicine Board of Australia - 27 June 2017</vt:lpstr>
    </vt:vector>
  </TitlesOfParts>
  <Company>AHPRA</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- 27 June 2017</dc:title>
  <dc:subject>Communique</dc:subject>
  <dc:creator>Chinese Medicine Board</dc:creator>
  <cp:lastModifiedBy>Gareth Meade</cp:lastModifiedBy>
  <cp:revision>3</cp:revision>
  <cp:lastPrinted>2017-07-13T02:16:00Z</cp:lastPrinted>
  <dcterms:created xsi:type="dcterms:W3CDTF">2017-07-13T02:16:00Z</dcterms:created>
  <dcterms:modified xsi:type="dcterms:W3CDTF">2017-07-13T02:16:00Z</dcterms:modified>
</cp:coreProperties>
</file>